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7352" w14:textId="7CD4BDCF" w:rsidR="005B194E" w:rsidRPr="005B194E" w:rsidRDefault="00120FF8" w:rsidP="005B194E">
      <w:pPr>
        <w:rPr>
          <w:b/>
          <w:bCs/>
        </w:rPr>
      </w:pPr>
      <w:r w:rsidRPr="00FE048B">
        <w:rPr>
          <w:noProof/>
          <w:sz w:val="38"/>
          <w:szCs w:val="38"/>
        </w:rPr>
        <w:drawing>
          <wp:anchor distT="0" distB="0" distL="114300" distR="114300" simplePos="0" relativeHeight="251658240" behindDoc="1" locked="0" layoutInCell="1" allowOverlap="1" wp14:anchorId="024739B6" wp14:editId="0282D340">
            <wp:simplePos x="0" y="0"/>
            <wp:positionH relativeFrom="margin">
              <wp:posOffset>2807284</wp:posOffset>
            </wp:positionH>
            <wp:positionV relativeFrom="paragraph">
              <wp:posOffset>0</wp:posOffset>
            </wp:positionV>
            <wp:extent cx="3089275" cy="2922270"/>
            <wp:effectExtent l="0" t="0" r="0" b="0"/>
            <wp:wrapSquare wrapText="bothSides"/>
            <wp:docPr id="548880012" name="Picture 1" descr="A hallway with paintings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80012" name="Picture 1" descr="A hallway with paintings on the wall&#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089275" cy="2922270"/>
                    </a:xfrm>
                    <a:prstGeom prst="rect">
                      <a:avLst/>
                    </a:prstGeom>
                  </pic:spPr>
                </pic:pic>
              </a:graphicData>
            </a:graphic>
            <wp14:sizeRelH relativeFrom="margin">
              <wp14:pctWidth>0</wp14:pctWidth>
            </wp14:sizeRelH>
            <wp14:sizeRelV relativeFrom="margin">
              <wp14:pctHeight>0</wp14:pctHeight>
            </wp14:sizeRelV>
          </wp:anchor>
        </w:drawing>
      </w:r>
      <w:r w:rsidR="005B194E" w:rsidRPr="005B194E">
        <w:rPr>
          <w:b/>
          <w:bCs/>
          <w:sz w:val="38"/>
          <w:szCs w:val="38"/>
        </w:rPr>
        <w:t>Interpreting historic houses, spaces, environments</w:t>
      </w:r>
      <w:r w:rsidR="005B194E" w:rsidRPr="005B194E">
        <w:rPr>
          <w:b/>
          <w:bCs/>
          <w:sz w:val="38"/>
          <w:szCs w:val="38"/>
        </w:rPr>
        <w:br/>
      </w:r>
      <w:r w:rsidR="005B194E" w:rsidRPr="005B194E">
        <w:rPr>
          <w:b/>
          <w:bCs/>
          <w:i/>
          <w:iCs/>
        </w:rPr>
        <w:t>Catalyst training and networking event for SGSAH PhD students</w:t>
      </w:r>
    </w:p>
    <w:p w14:paraId="06363E28" w14:textId="529E6DB1" w:rsidR="006C0779" w:rsidRDefault="005B194E" w:rsidP="006C0779">
      <w:r>
        <w:t>Monday 28</w:t>
      </w:r>
      <w:r w:rsidRPr="005B194E">
        <w:rPr>
          <w:vertAlign w:val="superscript"/>
        </w:rPr>
        <w:t>th</w:t>
      </w:r>
      <w:r>
        <w:t xml:space="preserve"> </w:t>
      </w:r>
      <w:r w:rsidR="006C0779" w:rsidRPr="008A2155">
        <w:t>April 2025</w:t>
      </w:r>
    </w:p>
    <w:p w14:paraId="7B9EA7AA" w14:textId="675873EE" w:rsidR="005B194E" w:rsidRDefault="00126E5A" w:rsidP="00126E5A">
      <w:r>
        <w:t>Location: Blair Castle, Pitlochry, Perthshire, PH18 5TL</w:t>
      </w:r>
      <w:r>
        <w:br/>
        <w:t>Timing: Arrival 0930 for 0950 start, concluding 1620.</w:t>
      </w:r>
    </w:p>
    <w:p w14:paraId="496087E9" w14:textId="77777777" w:rsidR="00FE048B" w:rsidRDefault="00FE048B" w:rsidP="006C0779"/>
    <w:p w14:paraId="2F1A4D4A" w14:textId="77777777" w:rsidR="00FE048B" w:rsidRDefault="00FE048B" w:rsidP="006C0779"/>
    <w:p w14:paraId="14D6F6BF" w14:textId="174AE405" w:rsidR="00C243B8" w:rsidRDefault="00C243B8" w:rsidP="006C0779">
      <w:r>
        <w:t>What to bring:</w:t>
      </w:r>
    </w:p>
    <w:p w14:paraId="6CD521DA" w14:textId="5F935B36" w:rsidR="00C243B8" w:rsidRDefault="00C243B8" w:rsidP="000030EB">
      <w:pPr>
        <w:pStyle w:val="ListParagraph"/>
        <w:numPr>
          <w:ilvl w:val="0"/>
          <w:numId w:val="1"/>
        </w:numPr>
      </w:pPr>
      <w:r>
        <w:t>Laptop</w:t>
      </w:r>
    </w:p>
    <w:p w14:paraId="481C31C5" w14:textId="1CBC98E8" w:rsidR="00C243B8" w:rsidRDefault="00C243B8" w:rsidP="000030EB">
      <w:pPr>
        <w:pStyle w:val="ListParagraph"/>
        <w:numPr>
          <w:ilvl w:val="0"/>
          <w:numId w:val="1"/>
        </w:numPr>
      </w:pPr>
      <w:r>
        <w:t>Notebook / pens / pencils (see Situated Writing exercise requirements)</w:t>
      </w:r>
    </w:p>
    <w:p w14:paraId="71D0253C" w14:textId="5FA6F9E2" w:rsidR="000030EB" w:rsidRDefault="000030EB" w:rsidP="000030EB">
      <w:pPr>
        <w:pStyle w:val="ListParagraph"/>
        <w:numPr>
          <w:ilvl w:val="0"/>
          <w:numId w:val="1"/>
        </w:numPr>
      </w:pPr>
      <w:r>
        <w:t>Indoor / outdoor clothing (we will be outside for part of the day)</w:t>
      </w:r>
    </w:p>
    <w:p w14:paraId="4264225B" w14:textId="35506433" w:rsidR="008F4F99" w:rsidRPr="004E3D3D" w:rsidRDefault="008F4F99" w:rsidP="000030EB">
      <w:pPr>
        <w:pStyle w:val="ListParagraph"/>
        <w:numPr>
          <w:ilvl w:val="0"/>
          <w:numId w:val="1"/>
        </w:numPr>
        <w:rPr>
          <w:i/>
          <w:iCs/>
        </w:rPr>
      </w:pPr>
      <w:r w:rsidRPr="004E3D3D">
        <w:rPr>
          <w:i/>
          <w:iCs/>
        </w:rPr>
        <w:t>N.B. Mobile signal may be patchy.</w:t>
      </w:r>
    </w:p>
    <w:p w14:paraId="757025AA" w14:textId="77777777" w:rsidR="008A2155" w:rsidRDefault="008A2155" w:rsidP="006C0779"/>
    <w:p w14:paraId="493C415A" w14:textId="77777777" w:rsidR="00A83EA7" w:rsidRDefault="00A83EA7" w:rsidP="006C0779"/>
    <w:p w14:paraId="5583BA4E" w14:textId="77777777" w:rsidR="00A83EA7" w:rsidRDefault="00A83EA7" w:rsidP="006C0779"/>
    <w:tbl>
      <w:tblPr>
        <w:tblStyle w:val="TableGrid"/>
        <w:tblW w:w="0" w:type="auto"/>
        <w:tblLook w:val="04A0" w:firstRow="1" w:lastRow="0" w:firstColumn="1" w:lastColumn="0" w:noHBand="0" w:noVBand="1"/>
      </w:tblPr>
      <w:tblGrid>
        <w:gridCol w:w="3230"/>
        <w:gridCol w:w="5796"/>
      </w:tblGrid>
      <w:tr w:rsidR="00380C9C" w14:paraId="72D255B4" w14:textId="77777777" w:rsidTr="00380C9C">
        <w:trPr>
          <w:trHeight w:val="2726"/>
        </w:trPr>
        <w:tc>
          <w:tcPr>
            <w:tcW w:w="9016" w:type="dxa"/>
            <w:gridSpan w:val="2"/>
            <w:tcBorders>
              <w:top w:val="nil"/>
              <w:left w:val="nil"/>
              <w:bottom w:val="nil"/>
              <w:right w:val="nil"/>
            </w:tcBorders>
          </w:tcPr>
          <w:p w14:paraId="0DB84F99" w14:textId="6517DEBB" w:rsidR="00380C9C" w:rsidRDefault="00380C9C" w:rsidP="00380C9C">
            <w:pPr>
              <w:jc w:val="center"/>
            </w:pPr>
            <w:r>
              <w:rPr>
                <w:noProof/>
              </w:rPr>
              <w:drawing>
                <wp:inline distT="0" distB="0" distL="0" distR="0" wp14:anchorId="5FC8A3D1" wp14:editId="2F417ABE">
                  <wp:extent cx="2253082" cy="1432002"/>
                  <wp:effectExtent l="0" t="0" r="0" b="0"/>
                  <wp:docPr id="1710923316" name="Picture 1"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23316" name="Picture 1" descr="A black background with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289" cy="1439760"/>
                          </a:xfrm>
                          <a:prstGeom prst="rect">
                            <a:avLst/>
                          </a:prstGeom>
                          <a:noFill/>
                          <a:ln>
                            <a:noFill/>
                          </a:ln>
                        </pic:spPr>
                      </pic:pic>
                    </a:graphicData>
                  </a:graphic>
                </wp:inline>
              </w:drawing>
            </w:r>
          </w:p>
        </w:tc>
      </w:tr>
      <w:tr w:rsidR="00380C9C" w14:paraId="2AE07C5B" w14:textId="77777777" w:rsidTr="00380C9C">
        <w:tc>
          <w:tcPr>
            <w:tcW w:w="3478" w:type="dxa"/>
            <w:tcBorders>
              <w:top w:val="nil"/>
              <w:left w:val="nil"/>
              <w:bottom w:val="nil"/>
              <w:right w:val="nil"/>
            </w:tcBorders>
          </w:tcPr>
          <w:p w14:paraId="0A2ED248" w14:textId="1940388D" w:rsidR="00380C9C" w:rsidRDefault="00380C9C" w:rsidP="00380C9C">
            <w:pPr>
              <w:jc w:val="center"/>
            </w:pPr>
            <w:r>
              <w:rPr>
                <w:noProof/>
              </w:rPr>
              <w:drawing>
                <wp:inline distT="0" distB="0" distL="0" distR="0" wp14:anchorId="4FC63AB6" wp14:editId="4D4D8648">
                  <wp:extent cx="1484985" cy="741176"/>
                  <wp:effectExtent l="0" t="0" r="1270" b="1905"/>
                  <wp:docPr id="1389190989"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90989" name="Picture 2" descr="A black background with a black squa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4621" cy="780923"/>
                          </a:xfrm>
                          <a:prstGeom prst="rect">
                            <a:avLst/>
                          </a:prstGeom>
                        </pic:spPr>
                      </pic:pic>
                    </a:graphicData>
                  </a:graphic>
                </wp:inline>
              </w:drawing>
            </w:r>
          </w:p>
        </w:tc>
        <w:tc>
          <w:tcPr>
            <w:tcW w:w="5538" w:type="dxa"/>
            <w:tcBorders>
              <w:top w:val="nil"/>
              <w:left w:val="nil"/>
              <w:bottom w:val="nil"/>
              <w:right w:val="nil"/>
            </w:tcBorders>
          </w:tcPr>
          <w:p w14:paraId="4145B93F" w14:textId="14C0FA8F" w:rsidR="00380C9C" w:rsidRDefault="00380C9C" w:rsidP="00380C9C">
            <w:pPr>
              <w:jc w:val="center"/>
            </w:pPr>
            <w:r>
              <w:rPr>
                <w:noProof/>
              </w:rPr>
              <w:drawing>
                <wp:inline distT="0" distB="0" distL="0" distR="0" wp14:anchorId="4A58F66C" wp14:editId="6ADDA82B">
                  <wp:extent cx="3540557" cy="815905"/>
                  <wp:effectExtent l="0" t="0" r="3175" b="3810"/>
                  <wp:docPr id="152199270" name="Picture 3" descr="A blac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270" name="Picture 3" descr="A black sign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0196" cy="845780"/>
                          </a:xfrm>
                          <a:prstGeom prst="rect">
                            <a:avLst/>
                          </a:prstGeom>
                          <a:noFill/>
                          <a:ln>
                            <a:noFill/>
                          </a:ln>
                        </pic:spPr>
                      </pic:pic>
                    </a:graphicData>
                  </a:graphic>
                </wp:inline>
              </w:drawing>
            </w:r>
          </w:p>
        </w:tc>
      </w:tr>
    </w:tbl>
    <w:p w14:paraId="68AF233A" w14:textId="77777777" w:rsidR="00380C9C" w:rsidRPr="008A2155" w:rsidRDefault="00380C9C" w:rsidP="006C0779"/>
    <w:p w14:paraId="388F2AD6" w14:textId="77777777" w:rsidR="00375277" w:rsidRDefault="00375277" w:rsidP="006C0779"/>
    <w:p w14:paraId="34D3B26B" w14:textId="1D0FAB9D" w:rsidR="00375277" w:rsidRDefault="00375277" w:rsidP="006C0779">
      <w:pPr>
        <w:sectPr w:rsidR="00375277">
          <w:footerReference w:type="default" r:id="rId12"/>
          <w:pgSz w:w="11906" w:h="16838"/>
          <w:pgMar w:top="1440" w:right="1440" w:bottom="1440" w:left="1440" w:header="708" w:footer="708" w:gutter="0"/>
          <w:cols w:space="708"/>
          <w:docGrid w:linePitch="360"/>
        </w:sectPr>
      </w:pPr>
    </w:p>
    <w:p w14:paraId="24F2955F" w14:textId="643F6BFF" w:rsidR="006C0779" w:rsidRPr="00A83EA7" w:rsidRDefault="00C6663B" w:rsidP="006C0779">
      <w:pPr>
        <w:rPr>
          <w:b/>
          <w:bCs/>
          <w:u w:val="single"/>
        </w:rPr>
      </w:pPr>
      <w:r w:rsidRPr="00A83EA7">
        <w:rPr>
          <w:b/>
          <w:bCs/>
          <w:u w:val="single"/>
        </w:rPr>
        <w:lastRenderedPageBreak/>
        <w:t xml:space="preserve">Draft </w:t>
      </w:r>
      <w:r w:rsidR="006C0779" w:rsidRPr="00A83EA7">
        <w:rPr>
          <w:b/>
          <w:bCs/>
          <w:u w:val="single"/>
        </w:rPr>
        <w:t>Programme</w:t>
      </w:r>
    </w:p>
    <w:tbl>
      <w:tblPr>
        <w:tblStyle w:val="TableGrid"/>
        <w:tblW w:w="0" w:type="auto"/>
        <w:tblLook w:val="04A0" w:firstRow="1" w:lastRow="0" w:firstColumn="1" w:lastColumn="0" w:noHBand="0" w:noVBand="1"/>
      </w:tblPr>
      <w:tblGrid>
        <w:gridCol w:w="1838"/>
        <w:gridCol w:w="7178"/>
      </w:tblGrid>
      <w:tr w:rsidR="006C0779" w:rsidRPr="008A2155" w14:paraId="77B952DB" w14:textId="77777777" w:rsidTr="006C0779">
        <w:tc>
          <w:tcPr>
            <w:tcW w:w="1838" w:type="dxa"/>
          </w:tcPr>
          <w:p w14:paraId="2E2FB51B" w14:textId="0EA4416C" w:rsidR="006C0779" w:rsidRPr="008A2155" w:rsidRDefault="00887E2C" w:rsidP="00E43C3E">
            <w:pPr>
              <w:spacing w:after="120"/>
            </w:pPr>
            <w:r w:rsidRPr="008A2155">
              <w:t>0930</w:t>
            </w:r>
          </w:p>
        </w:tc>
        <w:tc>
          <w:tcPr>
            <w:tcW w:w="7178" w:type="dxa"/>
          </w:tcPr>
          <w:p w14:paraId="77439BB4" w14:textId="0E7F0493" w:rsidR="006C0779" w:rsidRPr="008A2155" w:rsidRDefault="006C0779" w:rsidP="00E43C3E">
            <w:pPr>
              <w:spacing w:after="120"/>
            </w:pPr>
            <w:r w:rsidRPr="008A2155">
              <w:t>Arrival, refreshments &amp; networking</w:t>
            </w:r>
          </w:p>
        </w:tc>
      </w:tr>
      <w:tr w:rsidR="006C0779" w:rsidRPr="008A2155" w14:paraId="26A43238" w14:textId="77777777" w:rsidTr="006C0779">
        <w:tc>
          <w:tcPr>
            <w:tcW w:w="1838" w:type="dxa"/>
          </w:tcPr>
          <w:p w14:paraId="1BAC8F2D" w14:textId="509A7BD0" w:rsidR="006C0779" w:rsidRPr="008A2155" w:rsidRDefault="00887E2C" w:rsidP="00E43C3E">
            <w:pPr>
              <w:spacing w:after="120"/>
            </w:pPr>
            <w:r w:rsidRPr="008A2155">
              <w:t>0950</w:t>
            </w:r>
          </w:p>
        </w:tc>
        <w:tc>
          <w:tcPr>
            <w:tcW w:w="7178" w:type="dxa"/>
          </w:tcPr>
          <w:p w14:paraId="45FD6F50" w14:textId="4C676858" w:rsidR="006C0779" w:rsidRPr="008A2155" w:rsidRDefault="006C0779" w:rsidP="00E43C3E">
            <w:pPr>
              <w:spacing w:after="120"/>
            </w:pPr>
            <w:r w:rsidRPr="008A2155">
              <w:t>Introductions</w:t>
            </w:r>
            <w:r w:rsidR="00C6663B" w:rsidRPr="008A2155">
              <w:t xml:space="preserve"> – Ian Baxter and Helen McCormack</w:t>
            </w:r>
          </w:p>
        </w:tc>
      </w:tr>
      <w:tr w:rsidR="006C0779" w:rsidRPr="008A2155" w14:paraId="239A4B9F" w14:textId="77777777" w:rsidTr="006C0779">
        <w:tc>
          <w:tcPr>
            <w:tcW w:w="1838" w:type="dxa"/>
          </w:tcPr>
          <w:p w14:paraId="0427663D" w14:textId="24D99535" w:rsidR="006C0779" w:rsidRPr="008A2155" w:rsidRDefault="006C0779" w:rsidP="00E43C3E">
            <w:pPr>
              <w:spacing w:after="120"/>
            </w:pPr>
            <w:r w:rsidRPr="008A2155">
              <w:t>10</w:t>
            </w:r>
            <w:r w:rsidR="00887E2C" w:rsidRPr="008A2155">
              <w:t>00</w:t>
            </w:r>
          </w:p>
        </w:tc>
        <w:tc>
          <w:tcPr>
            <w:tcW w:w="7178" w:type="dxa"/>
          </w:tcPr>
          <w:p w14:paraId="7689E81B" w14:textId="63D79906" w:rsidR="006C0779" w:rsidRPr="008A2155" w:rsidRDefault="006C0779" w:rsidP="00E43C3E">
            <w:pPr>
              <w:spacing w:after="120"/>
            </w:pPr>
            <w:r w:rsidRPr="008A2155">
              <w:t>Helen McCormack (GSA) – historic houses and interiors</w:t>
            </w:r>
          </w:p>
        </w:tc>
      </w:tr>
      <w:tr w:rsidR="00E43C3E" w:rsidRPr="008A2155" w14:paraId="6B7416B8" w14:textId="77777777" w:rsidTr="006C0779">
        <w:tc>
          <w:tcPr>
            <w:tcW w:w="1838" w:type="dxa"/>
          </w:tcPr>
          <w:p w14:paraId="35BFBCE2" w14:textId="31B0D373" w:rsidR="00E43C3E" w:rsidRPr="008A2155" w:rsidRDefault="00887E2C" w:rsidP="00E43C3E">
            <w:pPr>
              <w:spacing w:after="120"/>
              <w:rPr>
                <w:i/>
                <w:iCs/>
              </w:rPr>
            </w:pPr>
            <w:r w:rsidRPr="008A2155">
              <w:rPr>
                <w:i/>
                <w:iCs/>
              </w:rPr>
              <w:t>1045</w:t>
            </w:r>
          </w:p>
        </w:tc>
        <w:tc>
          <w:tcPr>
            <w:tcW w:w="7178" w:type="dxa"/>
          </w:tcPr>
          <w:p w14:paraId="17BDE7D8" w14:textId="04848FF2" w:rsidR="00E43C3E" w:rsidRPr="008A2155" w:rsidRDefault="00157D65" w:rsidP="00E43C3E">
            <w:pPr>
              <w:spacing w:after="120"/>
              <w:rPr>
                <w:i/>
                <w:iCs/>
              </w:rPr>
            </w:pPr>
            <w:r w:rsidRPr="008A2155">
              <w:rPr>
                <w:i/>
                <w:iCs/>
              </w:rPr>
              <w:t>Haitang Zhang (GSA Doctoral student) - House museums as primary research</w:t>
            </w:r>
            <w:r w:rsidR="00E43C3E" w:rsidRPr="008A2155">
              <w:rPr>
                <w:i/>
                <w:iCs/>
              </w:rPr>
              <w:t xml:space="preserve"> </w:t>
            </w:r>
          </w:p>
        </w:tc>
      </w:tr>
      <w:tr w:rsidR="006C0779" w:rsidRPr="008A2155" w14:paraId="792F8AFC" w14:textId="77777777" w:rsidTr="006C0779">
        <w:tc>
          <w:tcPr>
            <w:tcW w:w="1838" w:type="dxa"/>
          </w:tcPr>
          <w:p w14:paraId="7153D752" w14:textId="56818DB0" w:rsidR="006C0779" w:rsidRPr="008A2155" w:rsidRDefault="006C0779" w:rsidP="00E43C3E">
            <w:pPr>
              <w:spacing w:after="120"/>
            </w:pPr>
            <w:r w:rsidRPr="008A2155">
              <w:t>11</w:t>
            </w:r>
            <w:r w:rsidR="00887E2C" w:rsidRPr="008A2155">
              <w:t>00</w:t>
            </w:r>
          </w:p>
        </w:tc>
        <w:tc>
          <w:tcPr>
            <w:tcW w:w="7178" w:type="dxa"/>
          </w:tcPr>
          <w:p w14:paraId="38784659" w14:textId="1301843B" w:rsidR="006C0779" w:rsidRPr="008A2155" w:rsidRDefault="006C0779" w:rsidP="00E43C3E">
            <w:pPr>
              <w:spacing w:after="120" w:line="278" w:lineRule="auto"/>
            </w:pPr>
            <w:r w:rsidRPr="008A2155">
              <w:t>Focus session on archives/collections of Atholl Estates – Keren Guthrie (Atholl Estates)</w:t>
            </w:r>
          </w:p>
        </w:tc>
      </w:tr>
      <w:tr w:rsidR="006C0779" w:rsidRPr="008A2155" w14:paraId="09A73E4C" w14:textId="77777777" w:rsidTr="006C0779">
        <w:tc>
          <w:tcPr>
            <w:tcW w:w="1838" w:type="dxa"/>
          </w:tcPr>
          <w:p w14:paraId="2FF3F0C4" w14:textId="2C46D84E" w:rsidR="006C0779" w:rsidRPr="008A2155" w:rsidRDefault="006C0779" w:rsidP="00E43C3E">
            <w:pPr>
              <w:spacing w:after="120"/>
            </w:pPr>
            <w:r w:rsidRPr="008A2155">
              <w:t>1</w:t>
            </w:r>
            <w:r w:rsidR="00887E2C" w:rsidRPr="008A2155">
              <w:t>200</w:t>
            </w:r>
          </w:p>
        </w:tc>
        <w:tc>
          <w:tcPr>
            <w:tcW w:w="7178" w:type="dxa"/>
          </w:tcPr>
          <w:p w14:paraId="3C685590" w14:textId="1134339C" w:rsidR="006C0779" w:rsidRPr="008A2155" w:rsidRDefault="00887E2C" w:rsidP="00E43C3E">
            <w:pPr>
              <w:spacing w:after="120"/>
            </w:pPr>
            <w:r w:rsidRPr="008A2155">
              <w:t>Working</w:t>
            </w:r>
            <w:r w:rsidR="006C0779" w:rsidRPr="008A2155">
              <w:t xml:space="preserve"> Lunch and networking</w:t>
            </w:r>
          </w:p>
        </w:tc>
      </w:tr>
      <w:tr w:rsidR="006C0779" w:rsidRPr="008A2155" w14:paraId="675AC1BD" w14:textId="77777777" w:rsidTr="006C0779">
        <w:tc>
          <w:tcPr>
            <w:tcW w:w="1838" w:type="dxa"/>
          </w:tcPr>
          <w:p w14:paraId="700D99EF" w14:textId="02544E8F" w:rsidR="006C0779" w:rsidRPr="008A2155" w:rsidRDefault="006C0779" w:rsidP="00E43C3E">
            <w:pPr>
              <w:spacing w:after="120"/>
            </w:pPr>
            <w:r w:rsidRPr="008A2155">
              <w:t>1</w:t>
            </w:r>
            <w:r w:rsidR="00887E2C" w:rsidRPr="008A2155">
              <w:t>245</w:t>
            </w:r>
          </w:p>
        </w:tc>
        <w:tc>
          <w:tcPr>
            <w:tcW w:w="7178" w:type="dxa"/>
          </w:tcPr>
          <w:p w14:paraId="54D76C18" w14:textId="246CE0B4" w:rsidR="006C0779" w:rsidRPr="008A2155" w:rsidRDefault="006C0779" w:rsidP="00E43C3E">
            <w:pPr>
              <w:spacing w:after="120"/>
            </w:pPr>
            <w:r w:rsidRPr="008A2155">
              <w:t>Focus session on wider estate history, garden and land management – Chris Dingwall</w:t>
            </w:r>
          </w:p>
        </w:tc>
      </w:tr>
      <w:tr w:rsidR="006C0779" w:rsidRPr="008A2155" w14:paraId="07EFC3C9" w14:textId="77777777" w:rsidTr="006C0779">
        <w:tc>
          <w:tcPr>
            <w:tcW w:w="1838" w:type="dxa"/>
          </w:tcPr>
          <w:p w14:paraId="4AEDD169" w14:textId="700B9DED" w:rsidR="006C0779" w:rsidRPr="008A2155" w:rsidRDefault="006C0779" w:rsidP="00E43C3E">
            <w:pPr>
              <w:spacing w:after="120"/>
            </w:pPr>
            <w:r w:rsidRPr="008A2155">
              <w:t>1</w:t>
            </w:r>
            <w:r w:rsidR="00887E2C" w:rsidRPr="008A2155">
              <w:t>345</w:t>
            </w:r>
          </w:p>
        </w:tc>
        <w:tc>
          <w:tcPr>
            <w:tcW w:w="7178" w:type="dxa"/>
          </w:tcPr>
          <w:p w14:paraId="20877712" w14:textId="0B0A0DF7" w:rsidR="006C0779" w:rsidRPr="008A2155" w:rsidRDefault="006C0779" w:rsidP="00E43C3E">
            <w:pPr>
              <w:spacing w:after="120" w:line="278" w:lineRule="auto"/>
            </w:pPr>
            <w:r w:rsidRPr="008A2155">
              <w:t>Situated writing exercise</w:t>
            </w:r>
            <w:r w:rsidR="008A2155">
              <w:t xml:space="preserve"> (see instructions below – bring relevant materials!)</w:t>
            </w:r>
          </w:p>
        </w:tc>
      </w:tr>
      <w:tr w:rsidR="006C0779" w:rsidRPr="008A2155" w14:paraId="22732C69" w14:textId="77777777" w:rsidTr="006C0779">
        <w:tc>
          <w:tcPr>
            <w:tcW w:w="1838" w:type="dxa"/>
          </w:tcPr>
          <w:p w14:paraId="11762817" w14:textId="7EE46402" w:rsidR="006C0779" w:rsidRPr="008A2155" w:rsidRDefault="006C0779" w:rsidP="00E43C3E">
            <w:pPr>
              <w:spacing w:after="120"/>
            </w:pPr>
            <w:r w:rsidRPr="008A2155">
              <w:t>1</w:t>
            </w:r>
            <w:r w:rsidR="00887E2C" w:rsidRPr="008A2155">
              <w:t>4</w:t>
            </w:r>
            <w:r w:rsidR="002A457C" w:rsidRPr="008A2155">
              <w:t>10</w:t>
            </w:r>
          </w:p>
        </w:tc>
        <w:tc>
          <w:tcPr>
            <w:tcW w:w="7178" w:type="dxa"/>
          </w:tcPr>
          <w:p w14:paraId="7CECC5F4" w14:textId="25B3A9A4" w:rsidR="006C0779" w:rsidRPr="008A2155" w:rsidRDefault="006C0779" w:rsidP="00E43C3E">
            <w:pPr>
              <w:spacing w:after="120" w:line="278" w:lineRule="auto"/>
            </w:pPr>
            <w:r w:rsidRPr="008A2155">
              <w:t>Estates and world connections - Craig  Thomas (Buccleuch Living Heritage Trust)</w:t>
            </w:r>
          </w:p>
        </w:tc>
      </w:tr>
      <w:tr w:rsidR="006C0779" w:rsidRPr="008A2155" w14:paraId="4A55D254" w14:textId="77777777" w:rsidTr="006C0779">
        <w:tc>
          <w:tcPr>
            <w:tcW w:w="1838" w:type="dxa"/>
          </w:tcPr>
          <w:p w14:paraId="6D4C9B3F" w14:textId="4314B729" w:rsidR="006C0779" w:rsidRPr="008A2155" w:rsidRDefault="006C0779" w:rsidP="00E43C3E">
            <w:pPr>
              <w:spacing w:after="120"/>
            </w:pPr>
            <w:r w:rsidRPr="008A2155">
              <w:t>1</w:t>
            </w:r>
            <w:r w:rsidR="002A457C" w:rsidRPr="008A2155">
              <w:t>445</w:t>
            </w:r>
          </w:p>
        </w:tc>
        <w:tc>
          <w:tcPr>
            <w:tcW w:w="7178" w:type="dxa"/>
          </w:tcPr>
          <w:p w14:paraId="2EECB7D9" w14:textId="3514ACDC" w:rsidR="006C0779" w:rsidRPr="008A2155" w:rsidRDefault="00071ABE" w:rsidP="00E43C3E">
            <w:pPr>
              <w:spacing w:after="120" w:line="278" w:lineRule="auto"/>
            </w:pPr>
            <w:r w:rsidRPr="008A2155">
              <w:t xml:space="preserve">Putting heritage to work: historic houses in the 21st century - </w:t>
            </w:r>
            <w:r w:rsidR="00E43C3E" w:rsidRPr="008A2155">
              <w:t>Sarah Roller (Historic Houses Assoc)</w:t>
            </w:r>
          </w:p>
        </w:tc>
      </w:tr>
      <w:tr w:rsidR="006C0779" w:rsidRPr="008A2155" w14:paraId="590EB4E9" w14:textId="77777777" w:rsidTr="006C0779">
        <w:tc>
          <w:tcPr>
            <w:tcW w:w="1838" w:type="dxa"/>
          </w:tcPr>
          <w:p w14:paraId="5315D7FF" w14:textId="392119EE" w:rsidR="006C0779" w:rsidRPr="008A2155" w:rsidRDefault="00E43C3E" w:rsidP="00E43C3E">
            <w:pPr>
              <w:spacing w:after="120"/>
            </w:pPr>
            <w:r w:rsidRPr="008A2155">
              <w:t>1</w:t>
            </w:r>
            <w:r w:rsidR="00887E2C" w:rsidRPr="008A2155">
              <w:t>5</w:t>
            </w:r>
            <w:r w:rsidR="002A457C" w:rsidRPr="008A2155">
              <w:t>30</w:t>
            </w:r>
          </w:p>
        </w:tc>
        <w:tc>
          <w:tcPr>
            <w:tcW w:w="7178" w:type="dxa"/>
          </w:tcPr>
          <w:p w14:paraId="080C4062" w14:textId="2914A1B1" w:rsidR="006C0779" w:rsidRPr="008A2155" w:rsidRDefault="00E43C3E" w:rsidP="00E43C3E">
            <w:pPr>
              <w:spacing w:after="120"/>
            </w:pPr>
            <w:r w:rsidRPr="008A2155">
              <w:t xml:space="preserve">Historic houses </w:t>
            </w:r>
            <w:r w:rsidR="00C6663B" w:rsidRPr="008A2155">
              <w:t>-</w:t>
            </w:r>
            <w:r w:rsidRPr="008A2155">
              <w:t xml:space="preserve"> experiential and career context</w:t>
            </w:r>
            <w:r w:rsidR="00C6663B" w:rsidRPr="008A2155">
              <w:t>s</w:t>
            </w:r>
            <w:r w:rsidRPr="008A2155">
              <w:t xml:space="preserve"> – Ian Baxter (Heriot-Watt University)</w:t>
            </w:r>
          </w:p>
        </w:tc>
      </w:tr>
      <w:tr w:rsidR="006C0779" w:rsidRPr="008A2155" w14:paraId="590D8DE1" w14:textId="77777777" w:rsidTr="006C0779">
        <w:tc>
          <w:tcPr>
            <w:tcW w:w="1838" w:type="dxa"/>
          </w:tcPr>
          <w:p w14:paraId="4176C409" w14:textId="2CFF7772" w:rsidR="006C0779" w:rsidRPr="008A2155" w:rsidRDefault="00E43C3E" w:rsidP="00E43C3E">
            <w:pPr>
              <w:spacing w:after="120"/>
            </w:pPr>
            <w:r w:rsidRPr="008A2155">
              <w:t>16</w:t>
            </w:r>
            <w:r w:rsidR="002A457C" w:rsidRPr="008A2155">
              <w:t>00</w:t>
            </w:r>
          </w:p>
        </w:tc>
        <w:tc>
          <w:tcPr>
            <w:tcW w:w="7178" w:type="dxa"/>
          </w:tcPr>
          <w:p w14:paraId="044B5521" w14:textId="42FF3E8B" w:rsidR="006C0779" w:rsidRPr="008A2155" w:rsidRDefault="00E43C3E" w:rsidP="00E43C3E">
            <w:pPr>
              <w:spacing w:after="120"/>
            </w:pPr>
            <w:r w:rsidRPr="008A2155">
              <w:t>Conclusions</w:t>
            </w:r>
            <w:r w:rsidR="002A457C" w:rsidRPr="008A2155">
              <w:t xml:space="preserve"> – country houses as </w:t>
            </w:r>
            <w:r w:rsidR="00050EF5" w:rsidRPr="008A2155">
              <w:t xml:space="preserve">complex </w:t>
            </w:r>
            <w:r w:rsidR="002A457C" w:rsidRPr="008A2155">
              <w:t>research environments</w:t>
            </w:r>
          </w:p>
        </w:tc>
      </w:tr>
      <w:tr w:rsidR="00887E2C" w:rsidRPr="008A2155" w14:paraId="0C21E9BB" w14:textId="77777777" w:rsidTr="006C0779">
        <w:tc>
          <w:tcPr>
            <w:tcW w:w="1838" w:type="dxa"/>
          </w:tcPr>
          <w:p w14:paraId="13940673" w14:textId="3670DF69" w:rsidR="00887E2C" w:rsidRPr="008A2155" w:rsidRDefault="00887E2C" w:rsidP="00E43C3E">
            <w:pPr>
              <w:spacing w:after="120"/>
            </w:pPr>
            <w:r w:rsidRPr="008A2155">
              <w:t>16</w:t>
            </w:r>
            <w:r w:rsidR="002A457C" w:rsidRPr="008A2155">
              <w:t>20</w:t>
            </w:r>
          </w:p>
        </w:tc>
        <w:tc>
          <w:tcPr>
            <w:tcW w:w="7178" w:type="dxa"/>
          </w:tcPr>
          <w:p w14:paraId="30C8383B" w14:textId="3B3AD087" w:rsidR="00887E2C" w:rsidRPr="008A2155" w:rsidRDefault="002A457C" w:rsidP="00E43C3E">
            <w:pPr>
              <w:spacing w:after="120"/>
            </w:pPr>
            <w:r w:rsidRPr="008A2155">
              <w:t>Ends</w:t>
            </w:r>
          </w:p>
        </w:tc>
      </w:tr>
    </w:tbl>
    <w:p w14:paraId="6F398AFA" w14:textId="77777777" w:rsidR="008A2155" w:rsidRDefault="008A2155" w:rsidP="008A2155">
      <w:pPr>
        <w:rPr>
          <w:rFonts w:cs="Calibri Light"/>
          <w:b/>
          <w:bCs/>
          <w:u w:val="single"/>
        </w:rPr>
      </w:pPr>
    </w:p>
    <w:p w14:paraId="73E1D736" w14:textId="77777777" w:rsidR="00A83EA7" w:rsidRDefault="00A83EA7" w:rsidP="008A2155">
      <w:pPr>
        <w:rPr>
          <w:rFonts w:cs="Calibri Light"/>
          <w:b/>
          <w:bCs/>
          <w:u w:val="single"/>
        </w:rPr>
        <w:sectPr w:rsidR="00A83EA7">
          <w:pgSz w:w="11906" w:h="16838"/>
          <w:pgMar w:top="1440" w:right="1440" w:bottom="1440" w:left="1440" w:header="708" w:footer="708" w:gutter="0"/>
          <w:cols w:space="708"/>
          <w:docGrid w:linePitch="360"/>
        </w:sectPr>
      </w:pPr>
    </w:p>
    <w:p w14:paraId="46FBE725" w14:textId="3A306FB0" w:rsidR="008A2155" w:rsidRPr="008A2155" w:rsidRDefault="008A2155" w:rsidP="00455A4D">
      <w:pPr>
        <w:pBdr>
          <w:top w:val="single" w:sz="4" w:space="1" w:color="auto"/>
          <w:left w:val="single" w:sz="4" w:space="4" w:color="auto"/>
          <w:bottom w:val="single" w:sz="4" w:space="1" w:color="auto"/>
          <w:right w:val="single" w:sz="4" w:space="4" w:color="auto"/>
        </w:pBdr>
        <w:rPr>
          <w:rFonts w:cs="Calibri Light"/>
          <w:b/>
          <w:bCs/>
          <w:u w:val="single"/>
        </w:rPr>
      </w:pPr>
      <w:r w:rsidRPr="008A2155">
        <w:rPr>
          <w:rFonts w:cs="Calibri Light"/>
          <w:b/>
          <w:bCs/>
          <w:u w:val="single"/>
        </w:rPr>
        <w:lastRenderedPageBreak/>
        <w:t>Situated writing exercise</w:t>
      </w:r>
    </w:p>
    <w:p w14:paraId="48DF43B1" w14:textId="77777777" w:rsidR="008A2155" w:rsidRPr="008A2155" w:rsidRDefault="008A2155" w:rsidP="00455A4D">
      <w:pPr>
        <w:pBdr>
          <w:top w:val="single" w:sz="4" w:space="1" w:color="auto"/>
          <w:left w:val="single" w:sz="4" w:space="4" w:color="auto"/>
          <w:bottom w:val="single" w:sz="4" w:space="1" w:color="auto"/>
          <w:right w:val="single" w:sz="4" w:space="4" w:color="auto"/>
        </w:pBdr>
        <w:rPr>
          <w:rFonts w:cs="Calibri Light"/>
        </w:rPr>
      </w:pPr>
      <w:r w:rsidRPr="008A2155">
        <w:rPr>
          <w:rFonts w:cs="Calibri Light"/>
        </w:rPr>
        <w:t xml:space="preserve">During the day we will invite students to choose a specific site (this might be a room, corridor, window seat, door frame or threshold, garden path or wall, or a piece of furniture, sculpture or painting, textile or surface) related to the house and grounds and write 800 words as a ‘situated writing’ exercise. The writing can be carried out in pencil/pen on paper, in a notebook, a laptop, phone or tablet. Students are also welcome to draw sketches, take photographs and make short video/films. This exercise is centred on the ideas of Jane Rendell, in her work, ‘Sites, Situations, and Other Kinds of Situatedness’:   </w:t>
      </w:r>
      <w:hyperlink r:id="rId13" w:history="1">
        <w:r w:rsidRPr="008A2155">
          <w:rPr>
            <w:rStyle w:val="Hyperlink"/>
            <w:rFonts w:cs="Calibri Light"/>
          </w:rPr>
          <w:t>https://www.janerendell.co.uk/wp-content/uploads/2021/12/Log48_Rendell.pdf</w:t>
        </w:r>
      </w:hyperlink>
      <w:r w:rsidRPr="008A2155">
        <w:rPr>
          <w:rFonts w:cs="Calibri Light"/>
        </w:rPr>
        <w:t xml:space="preserve"> </w:t>
      </w:r>
    </w:p>
    <w:p w14:paraId="3834C18E" w14:textId="77777777" w:rsidR="008A2155" w:rsidRPr="008A2155" w:rsidRDefault="008A2155" w:rsidP="00455A4D">
      <w:pPr>
        <w:pBdr>
          <w:top w:val="single" w:sz="4" w:space="1" w:color="auto"/>
          <w:left w:val="single" w:sz="4" w:space="4" w:color="auto"/>
          <w:bottom w:val="single" w:sz="4" w:space="1" w:color="auto"/>
          <w:right w:val="single" w:sz="4" w:space="4" w:color="auto"/>
        </w:pBdr>
        <w:rPr>
          <w:rFonts w:cs="Calibri Light"/>
        </w:rPr>
      </w:pPr>
      <w:r w:rsidRPr="008A2155">
        <w:rPr>
          <w:rFonts w:cs="Calibri Light"/>
        </w:rPr>
        <w:t xml:space="preserve">The situated writing exercise is an opportunity to reflect on the historical site of Blair Castle and Estate, its architecture, rich interior decoration and its ‘landedness’, as an ancient Scottish estate. Using Rendell’s description of situatedness, ‘as the location of space and a set of circumstances bounded in time – the conditions of a particular instant, a moment, an event’, we ask students to consider individual presences within Blair’s interiors or landscape and write in response to such experiences, informed by historical accounts of these spaces and physical encounters with the site over the course of the day. </w:t>
      </w:r>
    </w:p>
    <w:p w14:paraId="70330BAE" w14:textId="77777777" w:rsidR="00BA6D65" w:rsidRPr="008A2155" w:rsidRDefault="00BA6D65" w:rsidP="006C0779">
      <w:pPr>
        <w:pBdr>
          <w:bottom w:val="single" w:sz="6" w:space="1" w:color="auto"/>
        </w:pBdr>
      </w:pPr>
    </w:p>
    <w:p w14:paraId="0748E7E2" w14:textId="77777777" w:rsidR="00A83EA7" w:rsidRDefault="00A83EA7">
      <w:pPr>
        <w:rPr>
          <w:b/>
          <w:bCs/>
          <w:u w:val="single"/>
        </w:rPr>
      </w:pPr>
    </w:p>
    <w:p w14:paraId="2AF4DB14" w14:textId="32051023" w:rsidR="001A0621" w:rsidRPr="008A2155" w:rsidRDefault="001A0621">
      <w:pPr>
        <w:rPr>
          <w:b/>
          <w:bCs/>
          <w:u w:val="single"/>
        </w:rPr>
      </w:pPr>
      <w:r w:rsidRPr="008A2155">
        <w:rPr>
          <w:b/>
          <w:bCs/>
          <w:u w:val="single"/>
        </w:rPr>
        <w:t>Workshop preparation</w:t>
      </w:r>
    </w:p>
    <w:p w14:paraId="057D2F59" w14:textId="23F8B9FC" w:rsidR="001A0621" w:rsidRPr="008A2155" w:rsidRDefault="003345D4">
      <w:r w:rsidRPr="008A2155">
        <w:t xml:space="preserve">Some of the speakers at the workshop have provided some pre-reading / relevant resources which researchers may find useful </w:t>
      </w:r>
      <w:r w:rsidR="008F3384" w:rsidRPr="008A2155">
        <w:t>to access in advance of the day.</w:t>
      </w:r>
    </w:p>
    <w:p w14:paraId="718AEEFA" w14:textId="319B0988" w:rsidR="0070308F" w:rsidRPr="008A2155" w:rsidRDefault="0070308F" w:rsidP="0070308F"/>
    <w:p w14:paraId="422B8445" w14:textId="3A307686" w:rsidR="0070308F" w:rsidRPr="008A2155" w:rsidRDefault="00D4051E" w:rsidP="0070308F">
      <w:pPr>
        <w:rPr>
          <w:rFonts w:cs="Calibri Light"/>
          <w:b/>
          <w:bCs/>
        </w:rPr>
      </w:pPr>
      <w:r>
        <w:rPr>
          <w:b/>
          <w:bCs/>
        </w:rPr>
        <w:t>Helen McCormack (GSA)</w:t>
      </w:r>
      <w:r w:rsidR="00E36733">
        <w:rPr>
          <w:b/>
          <w:bCs/>
        </w:rPr>
        <w:t xml:space="preserve"> - </w:t>
      </w:r>
      <w:r w:rsidR="0070308F" w:rsidRPr="008A2155">
        <w:rPr>
          <w:rFonts w:cs="Calibri Light"/>
          <w:b/>
          <w:bCs/>
        </w:rPr>
        <w:t>Recommended Readings</w:t>
      </w:r>
    </w:p>
    <w:p w14:paraId="1A7E32B2" w14:textId="77777777" w:rsidR="0070308F" w:rsidRPr="008A2155" w:rsidRDefault="0070308F" w:rsidP="0070308F">
      <w:pPr>
        <w:rPr>
          <w:rFonts w:cs="Calibri Light"/>
        </w:rPr>
      </w:pPr>
      <w:r w:rsidRPr="008A2155">
        <w:rPr>
          <w:rFonts w:cs="Calibri Light"/>
        </w:rPr>
        <w:t xml:space="preserve">Gaston Bachelard, </w:t>
      </w:r>
      <w:r w:rsidRPr="008A2155">
        <w:rPr>
          <w:rFonts w:cs="Calibri Light"/>
          <w:i/>
          <w:iCs/>
        </w:rPr>
        <w:t>The Poetics of Space</w:t>
      </w:r>
      <w:r w:rsidRPr="008A2155">
        <w:rPr>
          <w:rFonts w:cs="Calibri Light"/>
        </w:rPr>
        <w:t>, chapter 3, ‘Drawers, Chests and Wardrobes’, Penguin books, 1964, pp. 95-109.</w:t>
      </w:r>
    </w:p>
    <w:p w14:paraId="766B9227" w14:textId="77777777" w:rsidR="0070308F" w:rsidRPr="008A2155" w:rsidRDefault="0070308F" w:rsidP="0070308F">
      <w:pPr>
        <w:rPr>
          <w:rFonts w:cs="Calibri Light"/>
        </w:rPr>
      </w:pPr>
      <w:r w:rsidRPr="008A2155">
        <w:rPr>
          <w:rFonts w:cs="Calibri Light"/>
        </w:rPr>
        <w:t xml:space="preserve">John Bonehill, ‘Scotland’s Prospects’ in </w:t>
      </w:r>
      <w:r w:rsidRPr="008A2155">
        <w:rPr>
          <w:rFonts w:cs="Calibri Light"/>
          <w:i/>
          <w:iCs/>
        </w:rPr>
        <w:t>Old Ways New Roads: Travels in Scotland 1720-1832</w:t>
      </w:r>
      <w:r w:rsidRPr="008A2155">
        <w:rPr>
          <w:rFonts w:cs="Calibri Light"/>
        </w:rPr>
        <w:t>, edited by John Bonehill, Anne Dulau Beveridge and Nigel Leask, Birlinn Press, in association with the Hunterian Museum and University of Glasgow, pp. 126-145.</w:t>
      </w:r>
    </w:p>
    <w:p w14:paraId="17D2EAEA" w14:textId="77777777" w:rsidR="0070308F" w:rsidRPr="008A2155" w:rsidRDefault="0070308F" w:rsidP="0070308F">
      <w:pPr>
        <w:rPr>
          <w:rFonts w:cs="Calibri Light"/>
        </w:rPr>
      </w:pPr>
      <w:r w:rsidRPr="008A2155">
        <w:rPr>
          <w:rFonts w:cs="Calibri Light"/>
        </w:rPr>
        <w:t xml:space="preserve">Viccy Coltman, </w:t>
      </w:r>
      <w:r w:rsidRPr="008A2155">
        <w:rPr>
          <w:rFonts w:cs="Calibri Light"/>
          <w:i/>
          <w:iCs/>
        </w:rPr>
        <w:t>Art and Identity in Scotland: A Cultural History from the Jacobite Rising of 1745 to Walter Scott</w:t>
      </w:r>
      <w:r w:rsidRPr="008A2155">
        <w:rPr>
          <w:rFonts w:cs="Calibri Light"/>
        </w:rPr>
        <w:t>, Cambridge University Press, 2019, pp. 62-103.</w:t>
      </w:r>
    </w:p>
    <w:p w14:paraId="118AD985" w14:textId="77777777" w:rsidR="0070308F" w:rsidRPr="008A2155" w:rsidRDefault="0070308F" w:rsidP="0070308F">
      <w:pPr>
        <w:rPr>
          <w:rFonts w:cs="Calibri Light"/>
        </w:rPr>
      </w:pPr>
      <w:r w:rsidRPr="008A2155">
        <w:rPr>
          <w:rFonts w:cs="Calibri Light"/>
        </w:rPr>
        <w:t xml:space="preserve">Christopher Dingwall, ‘Roads, Bridges and Designed Landscapes on the Highland Circuit’, in </w:t>
      </w:r>
      <w:r w:rsidRPr="008A2155">
        <w:rPr>
          <w:rFonts w:cs="Calibri Light"/>
          <w:i/>
          <w:iCs/>
        </w:rPr>
        <w:t>Old Ways New Roads: Travels in Scotland 1720-1832</w:t>
      </w:r>
      <w:r w:rsidRPr="008A2155">
        <w:rPr>
          <w:rFonts w:cs="Calibri Light"/>
        </w:rPr>
        <w:t xml:space="preserve">, edited by John Bonehill, </w:t>
      </w:r>
      <w:r w:rsidRPr="008A2155">
        <w:rPr>
          <w:rFonts w:cs="Calibri Light"/>
        </w:rPr>
        <w:lastRenderedPageBreak/>
        <w:t xml:space="preserve">Anne Dulau Beveridge and Nigel Leask, Birlinn Press, in association with the Hunterian Museum and University of Glasgow, pp. 112-125. </w:t>
      </w:r>
    </w:p>
    <w:p w14:paraId="16C773DF" w14:textId="77777777" w:rsidR="0070308F" w:rsidRPr="008A2155" w:rsidRDefault="0070308F" w:rsidP="0070308F">
      <w:pPr>
        <w:rPr>
          <w:rFonts w:cs="Calibri Light"/>
        </w:rPr>
      </w:pPr>
      <w:r w:rsidRPr="008A2155">
        <w:rPr>
          <w:rFonts w:cs="Calibri Light"/>
        </w:rPr>
        <w:t xml:space="preserve">Mark Girouard, </w:t>
      </w:r>
      <w:r w:rsidRPr="008A2155">
        <w:rPr>
          <w:rFonts w:cs="Calibri Light"/>
          <w:i/>
          <w:iCs/>
        </w:rPr>
        <w:t>Life in the English Country House: A Social and Architectural History</w:t>
      </w:r>
      <w:r w:rsidRPr="008A2155">
        <w:rPr>
          <w:rFonts w:cs="Calibri Light"/>
        </w:rPr>
        <w:t>, chapter 7, ‘The Social House’, Yale University Press, 1978, pp. 181-212.</w:t>
      </w:r>
    </w:p>
    <w:p w14:paraId="7CB50075" w14:textId="77777777" w:rsidR="0070308F" w:rsidRPr="008A2155" w:rsidRDefault="0070308F" w:rsidP="0070308F">
      <w:pPr>
        <w:rPr>
          <w:rFonts w:cs="Calibri Light"/>
        </w:rPr>
      </w:pPr>
      <w:r w:rsidRPr="008A2155">
        <w:rPr>
          <w:rFonts w:cs="Calibri Light"/>
        </w:rPr>
        <w:t xml:space="preserve">Frederick Albritton Jonsson, </w:t>
      </w:r>
      <w:r w:rsidRPr="008A2155">
        <w:rPr>
          <w:rFonts w:cs="Calibri Light"/>
          <w:i/>
          <w:iCs/>
        </w:rPr>
        <w:t>Enlightenment’s Frontier: The Scottish Highlands and the Origins of Environmentalism</w:t>
      </w:r>
      <w:r w:rsidRPr="008A2155">
        <w:rPr>
          <w:rFonts w:cs="Calibri Light"/>
        </w:rPr>
        <w:t>, chapter 2, ‘Natural History and Civil Cameralism’, Yale University Press, 2013, pp. 43-68.</w:t>
      </w:r>
    </w:p>
    <w:p w14:paraId="46DF8F86" w14:textId="77777777" w:rsidR="0070308F" w:rsidRPr="008A2155" w:rsidRDefault="0070308F" w:rsidP="0070308F">
      <w:pPr>
        <w:pBdr>
          <w:bottom w:val="single" w:sz="6" w:space="1" w:color="auto"/>
        </w:pBdr>
        <w:rPr>
          <w:rFonts w:cs="Calibri Light"/>
        </w:rPr>
      </w:pPr>
      <w:r w:rsidRPr="008A2155">
        <w:rPr>
          <w:rFonts w:cs="Calibri Light"/>
        </w:rPr>
        <w:t xml:space="preserve">Sam Johnson-Schlee, </w:t>
      </w:r>
      <w:r w:rsidRPr="008A2155">
        <w:rPr>
          <w:rFonts w:cs="Calibri Light"/>
          <w:i/>
          <w:iCs/>
        </w:rPr>
        <w:t>Living Rooms</w:t>
      </w:r>
      <w:r w:rsidRPr="008A2155">
        <w:rPr>
          <w:rFonts w:cs="Calibri Light"/>
        </w:rPr>
        <w:t>, Peninsula Press, 2022.</w:t>
      </w:r>
    </w:p>
    <w:p w14:paraId="330EEB4B" w14:textId="77777777" w:rsidR="0070308F" w:rsidRDefault="0070308F" w:rsidP="0070308F">
      <w:pPr>
        <w:pBdr>
          <w:bottom w:val="single" w:sz="6" w:space="1" w:color="auto"/>
        </w:pBdr>
        <w:rPr>
          <w:rFonts w:cs="Calibri Light"/>
        </w:rPr>
      </w:pPr>
    </w:p>
    <w:p w14:paraId="0682DCDC" w14:textId="3C10E1B9" w:rsidR="007E7B54" w:rsidRPr="0092770C" w:rsidRDefault="007E7B54" w:rsidP="00EF10EB">
      <w:pPr>
        <w:spacing w:after="0" w:line="240" w:lineRule="auto"/>
        <w:divId w:val="1135442568"/>
        <w:rPr>
          <w:rFonts w:ascii="Aptos" w:hAnsi="Aptos" w:cs="Times New Roman"/>
          <w:b/>
          <w:bCs/>
          <w:color w:val="212121"/>
          <w:kern w:val="0"/>
          <w:lang w:eastAsia="en-GB"/>
          <w14:ligatures w14:val="none"/>
        </w:rPr>
      </w:pPr>
      <w:r w:rsidRPr="0092770C">
        <w:rPr>
          <w:rFonts w:ascii="Aptos" w:hAnsi="Aptos" w:cs="Times New Roman"/>
          <w:b/>
          <w:bCs/>
          <w:color w:val="212121"/>
          <w:kern w:val="0"/>
          <w:lang w:eastAsia="en-GB"/>
          <w14:ligatures w14:val="none"/>
        </w:rPr>
        <w:t xml:space="preserve">Keren Guthrie </w:t>
      </w:r>
      <w:r w:rsidR="00AE4832" w:rsidRPr="0092770C">
        <w:rPr>
          <w:rFonts w:ascii="Aptos" w:hAnsi="Aptos" w:cs="Times New Roman"/>
          <w:b/>
          <w:bCs/>
          <w:color w:val="212121"/>
          <w:kern w:val="0"/>
          <w:lang w:eastAsia="en-GB"/>
          <w14:ligatures w14:val="none"/>
        </w:rPr>
        <w:t>(Atholl Estates) – recommended reading</w:t>
      </w:r>
      <w:r w:rsidR="0092770C">
        <w:rPr>
          <w:rFonts w:ascii="Aptos" w:hAnsi="Aptos" w:cs="Times New Roman"/>
          <w:b/>
          <w:bCs/>
          <w:color w:val="212121"/>
          <w:kern w:val="0"/>
          <w:lang w:eastAsia="en-GB"/>
          <w14:ligatures w14:val="none"/>
        </w:rPr>
        <w:t>s</w:t>
      </w:r>
    </w:p>
    <w:p w14:paraId="22117545" w14:textId="77777777" w:rsidR="007E7B54" w:rsidRPr="0092770C" w:rsidRDefault="007E7B54" w:rsidP="00EF10EB">
      <w:pPr>
        <w:spacing w:after="0" w:line="240" w:lineRule="auto"/>
        <w:divId w:val="1135442568"/>
        <w:rPr>
          <w:rFonts w:ascii="Aptos" w:hAnsi="Aptos" w:cs="Times New Roman"/>
          <w:b/>
          <w:bCs/>
          <w:color w:val="212121"/>
          <w:kern w:val="0"/>
          <w:lang w:eastAsia="en-GB"/>
          <w14:ligatures w14:val="none"/>
        </w:rPr>
      </w:pPr>
    </w:p>
    <w:p w14:paraId="291D9850" w14:textId="655FAA34" w:rsidR="00EF10EB" w:rsidRPr="00EF10EB" w:rsidRDefault="00EF10EB" w:rsidP="00EF10EB">
      <w:pPr>
        <w:spacing w:after="0" w:line="240" w:lineRule="auto"/>
        <w:divId w:val="1135442568"/>
        <w:rPr>
          <w:rFonts w:ascii="Aptos" w:hAnsi="Aptos" w:cs="Times New Roman"/>
          <w:color w:val="212121"/>
          <w:kern w:val="0"/>
          <w:lang w:eastAsia="en-GB"/>
          <w14:ligatures w14:val="none"/>
        </w:rPr>
      </w:pPr>
      <w:r w:rsidRPr="00EF10EB">
        <w:rPr>
          <w:rFonts w:ascii="Aptos" w:hAnsi="Aptos" w:cs="Times New Roman"/>
          <w:color w:val="212121"/>
          <w:kern w:val="0"/>
          <w:lang w:eastAsia="en-GB"/>
          <w14:ligatures w14:val="none"/>
        </w:rPr>
        <w:t>The Atholl Chronicles and Tullibardine families </w:t>
      </w:r>
      <w:hyperlink r:id="rId14" w:history="1">
        <w:r w:rsidRPr="00EF10EB">
          <w:rPr>
            <w:rFonts w:ascii="Aptos" w:hAnsi="Aptos" w:cs="Times New Roman"/>
            <w:color w:val="714FBC"/>
            <w:kern w:val="0"/>
            <w:u w:val="single"/>
            <w:lang w:eastAsia="en-GB"/>
            <w14:ligatures w14:val="none"/>
          </w:rPr>
          <w:t>https://digital.nls.uk/histories-of-scottish-families/archive/95221070</w:t>
        </w:r>
      </w:hyperlink>
      <w:r w:rsidRPr="00EF10EB">
        <w:rPr>
          <w:rFonts w:ascii="Aptos" w:hAnsi="Aptos" w:cs="Times New Roman"/>
          <w:color w:val="212121"/>
          <w:kern w:val="0"/>
          <w:lang w:eastAsia="en-GB"/>
          <w14:ligatures w14:val="none"/>
        </w:rPr>
        <w:t> , Ballantyne Press, 1896,  (1) Front cover – (28) page 6.</w:t>
      </w:r>
    </w:p>
    <w:p w14:paraId="6F690B74" w14:textId="77777777" w:rsidR="00EF10EB" w:rsidRPr="00EF10EB" w:rsidRDefault="00EF10EB" w:rsidP="00EF10EB">
      <w:pPr>
        <w:spacing w:after="0" w:line="240" w:lineRule="auto"/>
        <w:divId w:val="1135442568"/>
        <w:rPr>
          <w:rFonts w:ascii="Aptos" w:hAnsi="Aptos" w:cs="Times New Roman"/>
          <w:color w:val="212121"/>
          <w:kern w:val="0"/>
          <w:lang w:eastAsia="en-GB"/>
          <w14:ligatures w14:val="none"/>
        </w:rPr>
      </w:pPr>
      <w:r w:rsidRPr="00EF10EB">
        <w:rPr>
          <w:rFonts w:ascii="Aptos" w:hAnsi="Aptos" w:cs="Times New Roman"/>
          <w:color w:val="212121"/>
          <w:kern w:val="0"/>
          <w:lang w:eastAsia="en-GB"/>
          <w14:ligatures w14:val="none"/>
        </w:rPr>
        <w:t> </w:t>
      </w:r>
    </w:p>
    <w:p w14:paraId="5815978A" w14:textId="14AC965B" w:rsidR="00EF10EB" w:rsidRPr="0092770C" w:rsidRDefault="00EF10EB" w:rsidP="0092770C">
      <w:pPr>
        <w:spacing w:after="0" w:line="240" w:lineRule="auto"/>
        <w:divId w:val="1135442568"/>
        <w:rPr>
          <w:rFonts w:ascii="Aptos" w:hAnsi="Aptos" w:cs="Times New Roman"/>
          <w:color w:val="212121"/>
          <w:kern w:val="0"/>
          <w:lang w:eastAsia="en-GB"/>
          <w14:ligatures w14:val="none"/>
        </w:rPr>
      </w:pPr>
      <w:r w:rsidRPr="00EF10EB">
        <w:rPr>
          <w:rFonts w:ascii="Aptos" w:hAnsi="Aptos" w:cs="Times New Roman"/>
          <w:color w:val="212121"/>
          <w:kern w:val="0"/>
          <w:lang w:eastAsia="en-GB"/>
          <w14:ligatures w14:val="none"/>
        </w:rPr>
        <w:t>Elizabeth Lomas, </w:t>
      </w:r>
      <w:r w:rsidRPr="00EF10EB">
        <w:rPr>
          <w:rFonts w:ascii="Aptos" w:hAnsi="Aptos" w:cs="Times New Roman"/>
          <w:i/>
          <w:iCs/>
          <w:color w:val="212121"/>
          <w:kern w:val="0"/>
          <w:lang w:eastAsia="en-GB"/>
          <w14:ligatures w14:val="none"/>
        </w:rPr>
        <w:t>A Guide to the retention of Modern Records on Landed Estates</w:t>
      </w:r>
      <w:r w:rsidRPr="00EF10EB">
        <w:rPr>
          <w:rFonts w:ascii="Aptos" w:hAnsi="Aptos" w:cs="Times New Roman"/>
          <w:color w:val="212121"/>
          <w:kern w:val="0"/>
          <w:lang w:eastAsia="en-GB"/>
          <w14:ligatures w14:val="none"/>
        </w:rPr>
        <w:t>, chapter vii, ‘Public Access and Marketing Recors’, Historic House Archivisit Group, 2007, pp. 60-61</w:t>
      </w:r>
    </w:p>
    <w:p w14:paraId="3209C571" w14:textId="77777777" w:rsidR="00EF10EB" w:rsidRPr="007E7B54" w:rsidRDefault="00EF10EB" w:rsidP="0070308F">
      <w:pPr>
        <w:pBdr>
          <w:bottom w:val="single" w:sz="6" w:space="1" w:color="auto"/>
        </w:pBdr>
        <w:rPr>
          <w:rFonts w:cs="Calibri Light"/>
        </w:rPr>
      </w:pPr>
    </w:p>
    <w:p w14:paraId="5E656107" w14:textId="22938A4E" w:rsidR="0070308F" w:rsidRPr="008A2155" w:rsidRDefault="0070308F" w:rsidP="0070308F">
      <w:r w:rsidRPr="008A2155">
        <w:rPr>
          <w:b/>
          <w:bCs/>
        </w:rPr>
        <w:t>Sarah Roller</w:t>
      </w:r>
      <w:r w:rsidR="00E36733">
        <w:rPr>
          <w:b/>
          <w:bCs/>
        </w:rPr>
        <w:t xml:space="preserve"> (</w:t>
      </w:r>
      <w:r w:rsidR="00E36733" w:rsidRPr="008A2155">
        <w:rPr>
          <w:b/>
          <w:bCs/>
        </w:rPr>
        <w:t>Historic Houses</w:t>
      </w:r>
      <w:r w:rsidR="00E36733">
        <w:rPr>
          <w:b/>
          <w:bCs/>
        </w:rPr>
        <w:t>) – recommended readings</w:t>
      </w:r>
    </w:p>
    <w:p w14:paraId="58CC46DF" w14:textId="24224C34" w:rsidR="0070308F" w:rsidRPr="008A2155" w:rsidRDefault="0070308F" w:rsidP="0070308F">
      <w:r w:rsidRPr="008A2155">
        <w:t xml:space="preserve">Saving Country Houses and their Collections in the Twentieth and Twenty-First Centuries (Ben Cowell) </w:t>
      </w:r>
      <w:hyperlink r:id="rId15" w:history="1">
        <w:r w:rsidRPr="008A2155">
          <w:rPr>
            <w:rStyle w:val="Hyperlink"/>
          </w:rPr>
          <w:t>https://www.artandthecountryhouse.com/essays/essays-index/saving-country-houses-and-their-collections-in-the-twentieth-and-twenty-first-centuries</w:t>
        </w:r>
      </w:hyperlink>
      <w:r w:rsidRPr="008A2155">
        <w:t xml:space="preserve"> </w:t>
      </w:r>
    </w:p>
    <w:p w14:paraId="1AE029F9" w14:textId="42BA0358" w:rsidR="0070308F" w:rsidRPr="008A2155" w:rsidRDefault="0070308F" w:rsidP="0070308F">
      <w:r w:rsidRPr="008A2155">
        <w:t>‘My 12th-century castle is at risk under Labour’s tax raid – I’m so angry'</w:t>
      </w:r>
      <w:r w:rsidR="003850CB" w:rsidRPr="008A2155">
        <w:t xml:space="preserve"> </w:t>
      </w:r>
      <w:hyperlink r:id="rId16" w:history="1">
        <w:r w:rsidR="003850CB" w:rsidRPr="008A2155">
          <w:rPr>
            <w:rStyle w:val="Hyperlink"/>
          </w:rPr>
          <w:t>https://www.telegraph.co.uk/money/property/12th-century-castle-might-not-survive-labour-government/</w:t>
        </w:r>
      </w:hyperlink>
      <w:r w:rsidRPr="008A2155">
        <w:t xml:space="preserve"> </w:t>
      </w:r>
    </w:p>
    <w:p w14:paraId="147ED7D2" w14:textId="637A09DF" w:rsidR="0070308F" w:rsidRPr="008A2155" w:rsidRDefault="0070308F" w:rsidP="0070308F">
      <w:r w:rsidRPr="008A2155">
        <w:t xml:space="preserve">VIDEO: Changing Times, Valuing History </w:t>
      </w:r>
      <w:r w:rsidR="003850CB" w:rsidRPr="008A2155">
        <w:t xml:space="preserve"> </w:t>
      </w:r>
      <w:hyperlink r:id="rId17" w:history="1">
        <w:r w:rsidRPr="008A2155">
          <w:rPr>
            <w:rStyle w:val="Hyperlink"/>
          </w:rPr>
          <w:t>https://www.historichouses.org/changing-times-valuing-history-historic-houses-for-the-21st-century/</w:t>
        </w:r>
      </w:hyperlink>
      <w:r w:rsidRPr="008A2155">
        <w:t xml:space="preserve"> </w:t>
      </w:r>
    </w:p>
    <w:p w14:paraId="5EDB71DE" w14:textId="77777777" w:rsidR="0070308F" w:rsidRPr="008A2155" w:rsidRDefault="0070308F" w:rsidP="00BA6D65">
      <w:pPr>
        <w:pBdr>
          <w:bottom w:val="single" w:sz="6" w:space="1" w:color="auto"/>
        </w:pBdr>
      </w:pPr>
    </w:p>
    <w:p w14:paraId="4361BA9D" w14:textId="125E577E" w:rsidR="008A2155" w:rsidRDefault="00F125B3" w:rsidP="00C5606A">
      <w:pPr>
        <w:rPr>
          <w:rFonts w:cs="Calibri Light"/>
          <w:b/>
          <w:bCs/>
        </w:rPr>
      </w:pPr>
      <w:r>
        <w:rPr>
          <w:rFonts w:cs="Calibri Light"/>
          <w:b/>
          <w:bCs/>
        </w:rPr>
        <w:t>Craig Thomas (Bucc</w:t>
      </w:r>
      <w:r w:rsidR="00154321">
        <w:rPr>
          <w:rFonts w:cs="Calibri Light"/>
          <w:b/>
          <w:bCs/>
        </w:rPr>
        <w:t>leuch Living Heritage Trust) – recommended readings</w:t>
      </w:r>
    </w:p>
    <w:p w14:paraId="39795055" w14:textId="77777777" w:rsidR="00154321" w:rsidRPr="00154321" w:rsidRDefault="00154321" w:rsidP="00154321">
      <w:pPr>
        <w:rPr>
          <w:rFonts w:cs="Calibri Light"/>
        </w:rPr>
      </w:pPr>
      <w:r w:rsidRPr="00154321">
        <w:rPr>
          <w:rFonts w:cs="Calibri Light"/>
        </w:rPr>
        <w:t>D. Cannadine, </w:t>
      </w:r>
      <w:r w:rsidRPr="00154321">
        <w:rPr>
          <w:rFonts w:cs="Calibri Light"/>
          <w:i/>
          <w:iCs/>
        </w:rPr>
        <w:t>Aspects of Aristocracy</w:t>
      </w:r>
      <w:r w:rsidRPr="00154321">
        <w:rPr>
          <w:rFonts w:cs="Calibri Light"/>
        </w:rPr>
        <w:t>, (London: Yale University Press, 1994), Conclusion, pp. 242-245.</w:t>
      </w:r>
    </w:p>
    <w:p w14:paraId="1E0DC948" w14:textId="77777777" w:rsidR="00154321" w:rsidRPr="00154321" w:rsidRDefault="00154321" w:rsidP="00154321">
      <w:pPr>
        <w:rPr>
          <w:rFonts w:cs="Calibri Light"/>
        </w:rPr>
      </w:pPr>
      <w:r w:rsidRPr="00154321">
        <w:rPr>
          <w:rFonts w:cs="Calibri Light"/>
        </w:rPr>
        <w:t>D. Cannadine, </w:t>
      </w:r>
      <w:r w:rsidRPr="00154321">
        <w:rPr>
          <w:rFonts w:cs="Calibri Light"/>
          <w:i/>
          <w:iCs/>
        </w:rPr>
        <w:t>The Decline and Fall of the British Aristocracy,</w:t>
      </w:r>
      <w:r w:rsidRPr="00154321">
        <w:rPr>
          <w:rFonts w:cs="Calibri Light"/>
        </w:rPr>
        <w:t> (London: Yale University Press, 1990), Prologue, pp. 1-32.</w:t>
      </w:r>
    </w:p>
    <w:p w14:paraId="2BDDD940" w14:textId="77777777" w:rsidR="00154321" w:rsidRDefault="00154321" w:rsidP="00154321">
      <w:pPr>
        <w:pBdr>
          <w:bottom w:val="single" w:sz="6" w:space="1" w:color="auto"/>
        </w:pBdr>
        <w:rPr>
          <w:rFonts w:cs="Calibri Light"/>
        </w:rPr>
      </w:pPr>
      <w:r w:rsidRPr="00154321">
        <w:rPr>
          <w:rFonts w:cs="Calibri Light"/>
        </w:rPr>
        <w:lastRenderedPageBreak/>
        <w:t>T. Dooley, </w:t>
      </w:r>
      <w:r w:rsidRPr="00154321">
        <w:rPr>
          <w:rFonts w:cs="Calibri Light"/>
          <w:i/>
          <w:iCs/>
        </w:rPr>
        <w:t>Burning the Big House, </w:t>
      </w:r>
      <w:r w:rsidRPr="00154321">
        <w:rPr>
          <w:rFonts w:cs="Calibri Light"/>
        </w:rPr>
        <w:t>(London: Yale University Press, 2023). Chapter 9: The End of Revolution? pp. 239-283.</w:t>
      </w:r>
    </w:p>
    <w:p w14:paraId="293862BF" w14:textId="77777777" w:rsidR="00A53B6B" w:rsidRPr="00154321" w:rsidRDefault="00A53B6B" w:rsidP="00154321">
      <w:pPr>
        <w:pBdr>
          <w:bottom w:val="single" w:sz="6" w:space="1" w:color="auto"/>
        </w:pBdr>
        <w:rPr>
          <w:rFonts w:cs="Calibri Light"/>
        </w:rPr>
      </w:pPr>
    </w:p>
    <w:p w14:paraId="6CEA7C88" w14:textId="13F22C81" w:rsidR="00A53B6B" w:rsidRDefault="00A53B6B" w:rsidP="00C5606A">
      <w:pPr>
        <w:rPr>
          <w:rFonts w:cs="Calibri Light"/>
          <w:b/>
          <w:bCs/>
        </w:rPr>
      </w:pPr>
      <w:r>
        <w:rPr>
          <w:rFonts w:cs="Calibri Light"/>
          <w:b/>
          <w:bCs/>
        </w:rPr>
        <w:t>Ian Baxter (</w:t>
      </w:r>
      <w:r w:rsidRPr="00A53B6B">
        <w:rPr>
          <w:rFonts w:cs="Calibri Light"/>
          <w:b/>
          <w:bCs/>
        </w:rPr>
        <w:t>Heriot-Watt University</w:t>
      </w:r>
      <w:r>
        <w:rPr>
          <w:rFonts w:cs="Calibri Light"/>
          <w:b/>
          <w:bCs/>
        </w:rPr>
        <w:t>) – recommended readings</w:t>
      </w:r>
    </w:p>
    <w:p w14:paraId="7DE976A5" w14:textId="2B4953AA" w:rsidR="00A53B6B" w:rsidRDefault="00A86AC3" w:rsidP="00C5606A">
      <w:pPr>
        <w:rPr>
          <w:rFonts w:cs="Calibri Light"/>
        </w:rPr>
      </w:pPr>
      <w:r>
        <w:rPr>
          <w:rFonts w:cs="Calibri Light"/>
        </w:rPr>
        <w:t xml:space="preserve">Our past our future – the strategy for Scotland’s historic environment </w:t>
      </w:r>
      <w:hyperlink r:id="rId18" w:history="1">
        <w:r w:rsidR="00E163F2" w:rsidRPr="009A45B7">
          <w:rPr>
            <w:rStyle w:val="Hyperlink"/>
            <w:rFonts w:cs="Calibri Light"/>
          </w:rPr>
          <w:t>https://www.historicenvironment.scot/archives-and-research/publications/publication/?publicationId=79204155-9eb2-4d29-ab14-aff200ec2801</w:t>
        </w:r>
      </w:hyperlink>
      <w:r w:rsidR="00E163F2">
        <w:rPr>
          <w:rFonts w:cs="Calibri Light"/>
        </w:rPr>
        <w:t xml:space="preserve"> </w:t>
      </w:r>
    </w:p>
    <w:p w14:paraId="05363D13" w14:textId="3B77A914" w:rsidR="003850CB" w:rsidRDefault="0054176E" w:rsidP="00BA6D65">
      <w:pPr>
        <w:rPr>
          <w:rFonts w:cs="Calibri Light"/>
        </w:rPr>
      </w:pPr>
      <w:r>
        <w:rPr>
          <w:rFonts w:cs="Calibri Light"/>
        </w:rPr>
        <w:t xml:space="preserve">Scotland Outlook 2030 – responsible tourism for a sustainable future </w:t>
      </w:r>
      <w:hyperlink r:id="rId19" w:history="1">
        <w:r w:rsidRPr="009A45B7">
          <w:rPr>
            <w:rStyle w:val="Hyperlink"/>
            <w:rFonts w:cs="Calibri Light"/>
          </w:rPr>
          <w:t>https://scottishtourismalliance.co.uk/scotland-outlook-2030-overview/</w:t>
        </w:r>
      </w:hyperlink>
      <w:r>
        <w:rPr>
          <w:rFonts w:cs="Calibri Light"/>
        </w:rPr>
        <w:t xml:space="preserve"> </w:t>
      </w:r>
    </w:p>
    <w:p w14:paraId="07E137E6" w14:textId="467302B7" w:rsidR="0054176E" w:rsidRDefault="006145A4" w:rsidP="006145A4">
      <w:pPr>
        <w:rPr>
          <w:rFonts w:ascii="Arial" w:hAnsi="Arial" w:cs="Arial"/>
        </w:rPr>
      </w:pPr>
      <w:r>
        <w:t>Robson, E.M. (2025) Assessing the social values of heritage</w:t>
      </w:r>
      <w:r>
        <w:rPr>
          <w:rFonts w:ascii="Arial" w:hAnsi="Arial" w:cs="Arial"/>
        </w:rPr>
        <w:t xml:space="preserve">. </w:t>
      </w:r>
      <w:r w:rsidR="003D2B1B">
        <w:rPr>
          <w:rFonts w:ascii="Arial" w:hAnsi="Arial" w:cs="Arial"/>
        </w:rPr>
        <w:t>Routledge, Abingdon.</w:t>
      </w:r>
    </w:p>
    <w:p w14:paraId="2C96FC6D" w14:textId="77777777" w:rsidR="003D2B1B" w:rsidRDefault="003D2B1B" w:rsidP="006145A4">
      <w:pPr>
        <w:pBdr>
          <w:bottom w:val="single" w:sz="6" w:space="1" w:color="auto"/>
        </w:pBdr>
        <w:rPr>
          <w:rFonts w:ascii="Arial" w:hAnsi="Arial" w:cs="Arial"/>
        </w:rPr>
      </w:pPr>
    </w:p>
    <w:p w14:paraId="0C38938C" w14:textId="77777777" w:rsidR="003D2B1B" w:rsidRPr="008A2155" w:rsidRDefault="003D2B1B" w:rsidP="006145A4"/>
    <w:sectPr w:rsidR="003D2B1B" w:rsidRPr="008A21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C6D9F" w14:textId="77777777" w:rsidR="00C27E8F" w:rsidRDefault="00C27E8F" w:rsidP="00455A4D">
      <w:pPr>
        <w:spacing w:after="0" w:line="240" w:lineRule="auto"/>
      </w:pPr>
      <w:r>
        <w:separator/>
      </w:r>
    </w:p>
  </w:endnote>
  <w:endnote w:type="continuationSeparator" w:id="0">
    <w:p w14:paraId="54AD2C30" w14:textId="77777777" w:rsidR="00C27E8F" w:rsidRDefault="00C27E8F" w:rsidP="00455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416450"/>
      <w:docPartObj>
        <w:docPartGallery w:val="Page Numbers (Bottom of Page)"/>
        <w:docPartUnique/>
      </w:docPartObj>
    </w:sdtPr>
    <w:sdtEndPr>
      <w:rPr>
        <w:noProof/>
      </w:rPr>
    </w:sdtEndPr>
    <w:sdtContent>
      <w:p w14:paraId="6B62D50F" w14:textId="656D9EB0" w:rsidR="003B1E4B" w:rsidRDefault="003B1E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A42C1E" w14:textId="77777777" w:rsidR="00455A4D" w:rsidRDefault="00455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80EE2" w14:textId="77777777" w:rsidR="00C27E8F" w:rsidRDefault="00C27E8F" w:rsidP="00455A4D">
      <w:pPr>
        <w:spacing w:after="0" w:line="240" w:lineRule="auto"/>
      </w:pPr>
      <w:r>
        <w:separator/>
      </w:r>
    </w:p>
  </w:footnote>
  <w:footnote w:type="continuationSeparator" w:id="0">
    <w:p w14:paraId="17D2F71D" w14:textId="77777777" w:rsidR="00C27E8F" w:rsidRDefault="00C27E8F" w:rsidP="00455A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F60837"/>
    <w:multiLevelType w:val="hybridMultilevel"/>
    <w:tmpl w:val="B74A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5939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79"/>
    <w:rsid w:val="000030EB"/>
    <w:rsid w:val="0001077D"/>
    <w:rsid w:val="00050EF5"/>
    <w:rsid w:val="00071ABE"/>
    <w:rsid w:val="000F69D0"/>
    <w:rsid w:val="00106D3A"/>
    <w:rsid w:val="00120FF8"/>
    <w:rsid w:val="00126E5A"/>
    <w:rsid w:val="00154321"/>
    <w:rsid w:val="00157D65"/>
    <w:rsid w:val="001A0621"/>
    <w:rsid w:val="001C5C68"/>
    <w:rsid w:val="002042E3"/>
    <w:rsid w:val="002136A1"/>
    <w:rsid w:val="00293970"/>
    <w:rsid w:val="002A457C"/>
    <w:rsid w:val="002E3B01"/>
    <w:rsid w:val="003345D4"/>
    <w:rsid w:val="00375277"/>
    <w:rsid w:val="00380C9C"/>
    <w:rsid w:val="003850CB"/>
    <w:rsid w:val="003B1E4B"/>
    <w:rsid w:val="003D2B1B"/>
    <w:rsid w:val="00455A4D"/>
    <w:rsid w:val="004E3D3D"/>
    <w:rsid w:val="0054176E"/>
    <w:rsid w:val="005B194E"/>
    <w:rsid w:val="006145A4"/>
    <w:rsid w:val="00674588"/>
    <w:rsid w:val="006A678A"/>
    <w:rsid w:val="006C0779"/>
    <w:rsid w:val="0070308F"/>
    <w:rsid w:val="00760FB2"/>
    <w:rsid w:val="007E7B54"/>
    <w:rsid w:val="00887E2C"/>
    <w:rsid w:val="00895178"/>
    <w:rsid w:val="008A2155"/>
    <w:rsid w:val="008F3384"/>
    <w:rsid w:val="008F4F99"/>
    <w:rsid w:val="0092770C"/>
    <w:rsid w:val="00A53B6B"/>
    <w:rsid w:val="00A6391A"/>
    <w:rsid w:val="00A83EA7"/>
    <w:rsid w:val="00A86AC3"/>
    <w:rsid w:val="00A87189"/>
    <w:rsid w:val="00AB75F7"/>
    <w:rsid w:val="00AE3E4E"/>
    <w:rsid w:val="00AE4832"/>
    <w:rsid w:val="00B30FC8"/>
    <w:rsid w:val="00BA6D65"/>
    <w:rsid w:val="00BA7B3A"/>
    <w:rsid w:val="00C243B8"/>
    <w:rsid w:val="00C27E8F"/>
    <w:rsid w:val="00C3707D"/>
    <w:rsid w:val="00C5606A"/>
    <w:rsid w:val="00C6663B"/>
    <w:rsid w:val="00D4051E"/>
    <w:rsid w:val="00E163F2"/>
    <w:rsid w:val="00E36733"/>
    <w:rsid w:val="00E43C3E"/>
    <w:rsid w:val="00EE4A35"/>
    <w:rsid w:val="00EF10EB"/>
    <w:rsid w:val="00F125B3"/>
    <w:rsid w:val="00F732B9"/>
    <w:rsid w:val="00FD4E44"/>
    <w:rsid w:val="00FE04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A638"/>
  <w15:chartTrackingRefBased/>
  <w15:docId w15:val="{E0007FE2-B35B-497B-8CEB-D807D38D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7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07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07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07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07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07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7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7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7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7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07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7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7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7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7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7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7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779"/>
    <w:rPr>
      <w:rFonts w:eastAsiaTheme="majorEastAsia" w:cstheme="majorBidi"/>
      <w:color w:val="272727" w:themeColor="text1" w:themeTint="D8"/>
    </w:rPr>
  </w:style>
  <w:style w:type="paragraph" w:styleId="Title">
    <w:name w:val="Title"/>
    <w:basedOn w:val="Normal"/>
    <w:next w:val="Normal"/>
    <w:link w:val="TitleChar"/>
    <w:uiPriority w:val="10"/>
    <w:qFormat/>
    <w:rsid w:val="006C07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7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7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7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779"/>
    <w:pPr>
      <w:spacing w:before="160"/>
      <w:jc w:val="center"/>
    </w:pPr>
    <w:rPr>
      <w:i/>
      <w:iCs/>
      <w:color w:val="404040" w:themeColor="text1" w:themeTint="BF"/>
    </w:rPr>
  </w:style>
  <w:style w:type="character" w:customStyle="1" w:styleId="QuoteChar">
    <w:name w:val="Quote Char"/>
    <w:basedOn w:val="DefaultParagraphFont"/>
    <w:link w:val="Quote"/>
    <w:uiPriority w:val="29"/>
    <w:rsid w:val="006C0779"/>
    <w:rPr>
      <w:i/>
      <w:iCs/>
      <w:color w:val="404040" w:themeColor="text1" w:themeTint="BF"/>
    </w:rPr>
  </w:style>
  <w:style w:type="paragraph" w:styleId="ListParagraph">
    <w:name w:val="List Paragraph"/>
    <w:basedOn w:val="Normal"/>
    <w:uiPriority w:val="34"/>
    <w:qFormat/>
    <w:rsid w:val="006C0779"/>
    <w:pPr>
      <w:ind w:left="720"/>
      <w:contextualSpacing/>
    </w:pPr>
  </w:style>
  <w:style w:type="character" w:styleId="IntenseEmphasis">
    <w:name w:val="Intense Emphasis"/>
    <w:basedOn w:val="DefaultParagraphFont"/>
    <w:uiPriority w:val="21"/>
    <w:qFormat/>
    <w:rsid w:val="006C0779"/>
    <w:rPr>
      <w:i/>
      <w:iCs/>
      <w:color w:val="0F4761" w:themeColor="accent1" w:themeShade="BF"/>
    </w:rPr>
  </w:style>
  <w:style w:type="paragraph" w:styleId="IntenseQuote">
    <w:name w:val="Intense Quote"/>
    <w:basedOn w:val="Normal"/>
    <w:next w:val="Normal"/>
    <w:link w:val="IntenseQuoteChar"/>
    <w:uiPriority w:val="30"/>
    <w:qFormat/>
    <w:rsid w:val="006C07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779"/>
    <w:rPr>
      <w:i/>
      <w:iCs/>
      <w:color w:val="0F4761" w:themeColor="accent1" w:themeShade="BF"/>
    </w:rPr>
  </w:style>
  <w:style w:type="character" w:styleId="IntenseReference">
    <w:name w:val="Intense Reference"/>
    <w:basedOn w:val="DefaultParagraphFont"/>
    <w:uiPriority w:val="32"/>
    <w:qFormat/>
    <w:rsid w:val="006C0779"/>
    <w:rPr>
      <w:b/>
      <w:bCs/>
      <w:smallCaps/>
      <w:color w:val="0F4761" w:themeColor="accent1" w:themeShade="BF"/>
      <w:spacing w:val="5"/>
    </w:rPr>
  </w:style>
  <w:style w:type="paragraph" w:styleId="Date">
    <w:name w:val="Date"/>
    <w:basedOn w:val="Normal"/>
    <w:next w:val="Normal"/>
    <w:link w:val="DateChar"/>
    <w:uiPriority w:val="99"/>
    <w:semiHidden/>
    <w:unhideWhenUsed/>
    <w:rsid w:val="006C0779"/>
  </w:style>
  <w:style w:type="character" w:customStyle="1" w:styleId="DateChar">
    <w:name w:val="Date Char"/>
    <w:basedOn w:val="DefaultParagraphFont"/>
    <w:link w:val="Date"/>
    <w:uiPriority w:val="99"/>
    <w:semiHidden/>
    <w:rsid w:val="006C0779"/>
  </w:style>
  <w:style w:type="table" w:styleId="TableGrid">
    <w:name w:val="Table Grid"/>
    <w:basedOn w:val="TableNormal"/>
    <w:uiPriority w:val="39"/>
    <w:rsid w:val="006C0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D65"/>
    <w:rPr>
      <w:color w:val="467886" w:themeColor="hyperlink"/>
      <w:u w:val="single"/>
    </w:rPr>
  </w:style>
  <w:style w:type="character" w:styleId="UnresolvedMention">
    <w:name w:val="Unresolved Mention"/>
    <w:basedOn w:val="DefaultParagraphFont"/>
    <w:uiPriority w:val="99"/>
    <w:semiHidden/>
    <w:unhideWhenUsed/>
    <w:rsid w:val="00BA6D65"/>
    <w:rPr>
      <w:color w:val="605E5C"/>
      <w:shd w:val="clear" w:color="auto" w:fill="E1DFDD"/>
    </w:rPr>
  </w:style>
  <w:style w:type="paragraph" w:styleId="NormalWeb">
    <w:name w:val="Normal (Web)"/>
    <w:basedOn w:val="Normal"/>
    <w:uiPriority w:val="99"/>
    <w:semiHidden/>
    <w:unhideWhenUsed/>
    <w:rsid w:val="00EF10EB"/>
    <w:pPr>
      <w:spacing w:before="100" w:beforeAutospacing="1" w:after="100" w:afterAutospacing="1" w:line="240" w:lineRule="auto"/>
    </w:pPr>
    <w:rPr>
      <w:rFonts w:ascii="Times New Roman" w:hAnsi="Times New Roman" w:cs="Times New Roman"/>
      <w:kern w:val="0"/>
      <w:lang w:eastAsia="en-GB"/>
      <w14:ligatures w14:val="none"/>
    </w:rPr>
  </w:style>
  <w:style w:type="character" w:customStyle="1" w:styleId="apple-converted-space">
    <w:name w:val="apple-converted-space"/>
    <w:basedOn w:val="DefaultParagraphFont"/>
    <w:rsid w:val="00EF10EB"/>
  </w:style>
  <w:style w:type="paragraph" w:styleId="Header">
    <w:name w:val="header"/>
    <w:basedOn w:val="Normal"/>
    <w:link w:val="HeaderChar"/>
    <w:uiPriority w:val="99"/>
    <w:unhideWhenUsed/>
    <w:rsid w:val="00455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A4D"/>
  </w:style>
  <w:style w:type="paragraph" w:styleId="Footer">
    <w:name w:val="footer"/>
    <w:basedOn w:val="Normal"/>
    <w:link w:val="FooterChar"/>
    <w:uiPriority w:val="99"/>
    <w:unhideWhenUsed/>
    <w:rsid w:val="00455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1858">
      <w:bodyDiv w:val="1"/>
      <w:marLeft w:val="0"/>
      <w:marRight w:val="0"/>
      <w:marTop w:val="0"/>
      <w:marBottom w:val="0"/>
      <w:divBdr>
        <w:top w:val="none" w:sz="0" w:space="0" w:color="auto"/>
        <w:left w:val="none" w:sz="0" w:space="0" w:color="auto"/>
        <w:bottom w:val="none" w:sz="0" w:space="0" w:color="auto"/>
        <w:right w:val="none" w:sz="0" w:space="0" w:color="auto"/>
      </w:divBdr>
      <w:divsChild>
        <w:div w:id="1084843796">
          <w:marLeft w:val="0"/>
          <w:marRight w:val="0"/>
          <w:marTop w:val="0"/>
          <w:marBottom w:val="0"/>
          <w:divBdr>
            <w:top w:val="none" w:sz="0" w:space="0" w:color="auto"/>
            <w:left w:val="none" w:sz="0" w:space="0" w:color="auto"/>
            <w:bottom w:val="none" w:sz="0" w:space="0" w:color="auto"/>
            <w:right w:val="none" w:sz="0" w:space="0" w:color="auto"/>
          </w:divBdr>
        </w:div>
        <w:div w:id="491718243">
          <w:marLeft w:val="0"/>
          <w:marRight w:val="0"/>
          <w:marTop w:val="0"/>
          <w:marBottom w:val="0"/>
          <w:divBdr>
            <w:top w:val="none" w:sz="0" w:space="0" w:color="auto"/>
            <w:left w:val="none" w:sz="0" w:space="0" w:color="auto"/>
            <w:bottom w:val="none" w:sz="0" w:space="0" w:color="auto"/>
            <w:right w:val="none" w:sz="0" w:space="0" w:color="auto"/>
          </w:divBdr>
        </w:div>
        <w:div w:id="456685165">
          <w:marLeft w:val="0"/>
          <w:marRight w:val="0"/>
          <w:marTop w:val="0"/>
          <w:marBottom w:val="0"/>
          <w:divBdr>
            <w:top w:val="none" w:sz="0" w:space="0" w:color="auto"/>
            <w:left w:val="none" w:sz="0" w:space="0" w:color="auto"/>
            <w:bottom w:val="none" w:sz="0" w:space="0" w:color="auto"/>
            <w:right w:val="none" w:sz="0" w:space="0" w:color="auto"/>
          </w:divBdr>
        </w:div>
        <w:div w:id="1386564703">
          <w:marLeft w:val="0"/>
          <w:marRight w:val="0"/>
          <w:marTop w:val="0"/>
          <w:marBottom w:val="0"/>
          <w:divBdr>
            <w:top w:val="none" w:sz="0" w:space="0" w:color="auto"/>
            <w:left w:val="none" w:sz="0" w:space="0" w:color="auto"/>
            <w:bottom w:val="none" w:sz="0" w:space="0" w:color="auto"/>
            <w:right w:val="none" w:sz="0" w:space="0" w:color="auto"/>
          </w:divBdr>
        </w:div>
        <w:div w:id="2101564162">
          <w:marLeft w:val="0"/>
          <w:marRight w:val="0"/>
          <w:marTop w:val="0"/>
          <w:marBottom w:val="0"/>
          <w:divBdr>
            <w:top w:val="none" w:sz="0" w:space="0" w:color="auto"/>
            <w:left w:val="none" w:sz="0" w:space="0" w:color="auto"/>
            <w:bottom w:val="none" w:sz="0" w:space="0" w:color="auto"/>
            <w:right w:val="none" w:sz="0" w:space="0" w:color="auto"/>
          </w:divBdr>
        </w:div>
        <w:div w:id="250705358">
          <w:marLeft w:val="0"/>
          <w:marRight w:val="0"/>
          <w:marTop w:val="0"/>
          <w:marBottom w:val="0"/>
          <w:divBdr>
            <w:top w:val="none" w:sz="0" w:space="0" w:color="auto"/>
            <w:left w:val="none" w:sz="0" w:space="0" w:color="auto"/>
            <w:bottom w:val="none" w:sz="0" w:space="0" w:color="auto"/>
            <w:right w:val="none" w:sz="0" w:space="0" w:color="auto"/>
          </w:divBdr>
        </w:div>
        <w:div w:id="2130663790">
          <w:marLeft w:val="0"/>
          <w:marRight w:val="0"/>
          <w:marTop w:val="0"/>
          <w:marBottom w:val="0"/>
          <w:divBdr>
            <w:top w:val="none" w:sz="0" w:space="0" w:color="auto"/>
            <w:left w:val="none" w:sz="0" w:space="0" w:color="auto"/>
            <w:bottom w:val="none" w:sz="0" w:space="0" w:color="auto"/>
            <w:right w:val="none" w:sz="0" w:space="0" w:color="auto"/>
          </w:divBdr>
        </w:div>
        <w:div w:id="2074812458">
          <w:marLeft w:val="0"/>
          <w:marRight w:val="0"/>
          <w:marTop w:val="0"/>
          <w:marBottom w:val="0"/>
          <w:divBdr>
            <w:top w:val="none" w:sz="0" w:space="0" w:color="auto"/>
            <w:left w:val="none" w:sz="0" w:space="0" w:color="auto"/>
            <w:bottom w:val="none" w:sz="0" w:space="0" w:color="auto"/>
            <w:right w:val="none" w:sz="0" w:space="0" w:color="auto"/>
          </w:divBdr>
        </w:div>
      </w:divsChild>
    </w:div>
    <w:div w:id="70323623">
      <w:bodyDiv w:val="1"/>
      <w:marLeft w:val="0"/>
      <w:marRight w:val="0"/>
      <w:marTop w:val="0"/>
      <w:marBottom w:val="0"/>
      <w:divBdr>
        <w:top w:val="none" w:sz="0" w:space="0" w:color="auto"/>
        <w:left w:val="none" w:sz="0" w:space="0" w:color="auto"/>
        <w:bottom w:val="none" w:sz="0" w:space="0" w:color="auto"/>
        <w:right w:val="none" w:sz="0" w:space="0" w:color="auto"/>
      </w:divBdr>
      <w:divsChild>
        <w:div w:id="1908610906">
          <w:marLeft w:val="0"/>
          <w:marRight w:val="0"/>
          <w:marTop w:val="0"/>
          <w:marBottom w:val="0"/>
          <w:divBdr>
            <w:top w:val="none" w:sz="0" w:space="0" w:color="auto"/>
            <w:left w:val="none" w:sz="0" w:space="0" w:color="auto"/>
            <w:bottom w:val="none" w:sz="0" w:space="0" w:color="auto"/>
            <w:right w:val="none" w:sz="0" w:space="0" w:color="auto"/>
          </w:divBdr>
        </w:div>
        <w:div w:id="1940409659">
          <w:marLeft w:val="0"/>
          <w:marRight w:val="0"/>
          <w:marTop w:val="0"/>
          <w:marBottom w:val="0"/>
          <w:divBdr>
            <w:top w:val="none" w:sz="0" w:space="0" w:color="auto"/>
            <w:left w:val="none" w:sz="0" w:space="0" w:color="auto"/>
            <w:bottom w:val="none" w:sz="0" w:space="0" w:color="auto"/>
            <w:right w:val="none" w:sz="0" w:space="0" w:color="auto"/>
          </w:divBdr>
        </w:div>
        <w:div w:id="1584337650">
          <w:marLeft w:val="0"/>
          <w:marRight w:val="0"/>
          <w:marTop w:val="0"/>
          <w:marBottom w:val="0"/>
          <w:divBdr>
            <w:top w:val="none" w:sz="0" w:space="0" w:color="auto"/>
            <w:left w:val="none" w:sz="0" w:space="0" w:color="auto"/>
            <w:bottom w:val="none" w:sz="0" w:space="0" w:color="auto"/>
            <w:right w:val="none" w:sz="0" w:space="0" w:color="auto"/>
          </w:divBdr>
        </w:div>
        <w:div w:id="1453983779">
          <w:marLeft w:val="0"/>
          <w:marRight w:val="0"/>
          <w:marTop w:val="0"/>
          <w:marBottom w:val="0"/>
          <w:divBdr>
            <w:top w:val="none" w:sz="0" w:space="0" w:color="auto"/>
            <w:left w:val="none" w:sz="0" w:space="0" w:color="auto"/>
            <w:bottom w:val="none" w:sz="0" w:space="0" w:color="auto"/>
            <w:right w:val="none" w:sz="0" w:space="0" w:color="auto"/>
          </w:divBdr>
        </w:div>
        <w:div w:id="943533905">
          <w:marLeft w:val="0"/>
          <w:marRight w:val="0"/>
          <w:marTop w:val="0"/>
          <w:marBottom w:val="0"/>
          <w:divBdr>
            <w:top w:val="none" w:sz="0" w:space="0" w:color="auto"/>
            <w:left w:val="none" w:sz="0" w:space="0" w:color="auto"/>
            <w:bottom w:val="none" w:sz="0" w:space="0" w:color="auto"/>
            <w:right w:val="none" w:sz="0" w:space="0" w:color="auto"/>
          </w:divBdr>
        </w:div>
        <w:div w:id="1515529635">
          <w:marLeft w:val="0"/>
          <w:marRight w:val="0"/>
          <w:marTop w:val="0"/>
          <w:marBottom w:val="0"/>
          <w:divBdr>
            <w:top w:val="none" w:sz="0" w:space="0" w:color="auto"/>
            <w:left w:val="none" w:sz="0" w:space="0" w:color="auto"/>
            <w:bottom w:val="none" w:sz="0" w:space="0" w:color="auto"/>
            <w:right w:val="none" w:sz="0" w:space="0" w:color="auto"/>
          </w:divBdr>
        </w:div>
      </w:divsChild>
    </w:div>
    <w:div w:id="749082294">
      <w:bodyDiv w:val="1"/>
      <w:marLeft w:val="0"/>
      <w:marRight w:val="0"/>
      <w:marTop w:val="0"/>
      <w:marBottom w:val="0"/>
      <w:divBdr>
        <w:top w:val="none" w:sz="0" w:space="0" w:color="auto"/>
        <w:left w:val="none" w:sz="0" w:space="0" w:color="auto"/>
        <w:bottom w:val="none" w:sz="0" w:space="0" w:color="auto"/>
        <w:right w:val="none" w:sz="0" w:space="0" w:color="auto"/>
      </w:divBdr>
    </w:div>
    <w:div w:id="759638485">
      <w:bodyDiv w:val="1"/>
      <w:marLeft w:val="0"/>
      <w:marRight w:val="0"/>
      <w:marTop w:val="0"/>
      <w:marBottom w:val="0"/>
      <w:divBdr>
        <w:top w:val="none" w:sz="0" w:space="0" w:color="auto"/>
        <w:left w:val="none" w:sz="0" w:space="0" w:color="auto"/>
        <w:bottom w:val="none" w:sz="0" w:space="0" w:color="auto"/>
        <w:right w:val="none" w:sz="0" w:space="0" w:color="auto"/>
      </w:divBdr>
    </w:div>
    <w:div w:id="790366738">
      <w:bodyDiv w:val="1"/>
      <w:marLeft w:val="0"/>
      <w:marRight w:val="0"/>
      <w:marTop w:val="0"/>
      <w:marBottom w:val="0"/>
      <w:divBdr>
        <w:top w:val="none" w:sz="0" w:space="0" w:color="auto"/>
        <w:left w:val="none" w:sz="0" w:space="0" w:color="auto"/>
        <w:bottom w:val="none" w:sz="0" w:space="0" w:color="auto"/>
        <w:right w:val="none" w:sz="0" w:space="0" w:color="auto"/>
      </w:divBdr>
      <w:divsChild>
        <w:div w:id="1144736300">
          <w:marLeft w:val="0"/>
          <w:marRight w:val="0"/>
          <w:marTop w:val="0"/>
          <w:marBottom w:val="0"/>
          <w:divBdr>
            <w:top w:val="none" w:sz="0" w:space="0" w:color="auto"/>
            <w:left w:val="none" w:sz="0" w:space="0" w:color="auto"/>
            <w:bottom w:val="none" w:sz="0" w:space="0" w:color="auto"/>
            <w:right w:val="none" w:sz="0" w:space="0" w:color="auto"/>
          </w:divBdr>
        </w:div>
        <w:div w:id="478885545">
          <w:marLeft w:val="0"/>
          <w:marRight w:val="0"/>
          <w:marTop w:val="0"/>
          <w:marBottom w:val="0"/>
          <w:divBdr>
            <w:top w:val="none" w:sz="0" w:space="0" w:color="auto"/>
            <w:left w:val="none" w:sz="0" w:space="0" w:color="auto"/>
            <w:bottom w:val="none" w:sz="0" w:space="0" w:color="auto"/>
            <w:right w:val="none" w:sz="0" w:space="0" w:color="auto"/>
          </w:divBdr>
        </w:div>
        <w:div w:id="388965004">
          <w:marLeft w:val="0"/>
          <w:marRight w:val="0"/>
          <w:marTop w:val="0"/>
          <w:marBottom w:val="0"/>
          <w:divBdr>
            <w:top w:val="none" w:sz="0" w:space="0" w:color="auto"/>
            <w:left w:val="none" w:sz="0" w:space="0" w:color="auto"/>
            <w:bottom w:val="none" w:sz="0" w:space="0" w:color="auto"/>
            <w:right w:val="none" w:sz="0" w:space="0" w:color="auto"/>
          </w:divBdr>
        </w:div>
        <w:div w:id="1457984416">
          <w:marLeft w:val="0"/>
          <w:marRight w:val="0"/>
          <w:marTop w:val="0"/>
          <w:marBottom w:val="0"/>
          <w:divBdr>
            <w:top w:val="none" w:sz="0" w:space="0" w:color="auto"/>
            <w:left w:val="none" w:sz="0" w:space="0" w:color="auto"/>
            <w:bottom w:val="none" w:sz="0" w:space="0" w:color="auto"/>
            <w:right w:val="none" w:sz="0" w:space="0" w:color="auto"/>
          </w:divBdr>
        </w:div>
        <w:div w:id="2016105793">
          <w:marLeft w:val="0"/>
          <w:marRight w:val="0"/>
          <w:marTop w:val="0"/>
          <w:marBottom w:val="0"/>
          <w:divBdr>
            <w:top w:val="none" w:sz="0" w:space="0" w:color="auto"/>
            <w:left w:val="none" w:sz="0" w:space="0" w:color="auto"/>
            <w:bottom w:val="none" w:sz="0" w:space="0" w:color="auto"/>
            <w:right w:val="none" w:sz="0" w:space="0" w:color="auto"/>
          </w:divBdr>
        </w:div>
        <w:div w:id="837619204">
          <w:marLeft w:val="0"/>
          <w:marRight w:val="0"/>
          <w:marTop w:val="0"/>
          <w:marBottom w:val="0"/>
          <w:divBdr>
            <w:top w:val="none" w:sz="0" w:space="0" w:color="auto"/>
            <w:left w:val="none" w:sz="0" w:space="0" w:color="auto"/>
            <w:bottom w:val="none" w:sz="0" w:space="0" w:color="auto"/>
            <w:right w:val="none" w:sz="0" w:space="0" w:color="auto"/>
          </w:divBdr>
        </w:div>
      </w:divsChild>
    </w:div>
    <w:div w:id="894318839">
      <w:bodyDiv w:val="1"/>
      <w:marLeft w:val="0"/>
      <w:marRight w:val="0"/>
      <w:marTop w:val="0"/>
      <w:marBottom w:val="0"/>
      <w:divBdr>
        <w:top w:val="none" w:sz="0" w:space="0" w:color="auto"/>
        <w:left w:val="none" w:sz="0" w:space="0" w:color="auto"/>
        <w:bottom w:val="none" w:sz="0" w:space="0" w:color="auto"/>
        <w:right w:val="none" w:sz="0" w:space="0" w:color="auto"/>
      </w:divBdr>
      <w:divsChild>
        <w:div w:id="817455698">
          <w:marLeft w:val="0"/>
          <w:marRight w:val="0"/>
          <w:marTop w:val="0"/>
          <w:marBottom w:val="0"/>
          <w:divBdr>
            <w:top w:val="none" w:sz="0" w:space="0" w:color="auto"/>
            <w:left w:val="none" w:sz="0" w:space="0" w:color="auto"/>
            <w:bottom w:val="none" w:sz="0" w:space="0" w:color="auto"/>
            <w:right w:val="none" w:sz="0" w:space="0" w:color="auto"/>
          </w:divBdr>
        </w:div>
        <w:div w:id="2016109588">
          <w:marLeft w:val="0"/>
          <w:marRight w:val="0"/>
          <w:marTop w:val="0"/>
          <w:marBottom w:val="0"/>
          <w:divBdr>
            <w:top w:val="none" w:sz="0" w:space="0" w:color="auto"/>
            <w:left w:val="none" w:sz="0" w:space="0" w:color="auto"/>
            <w:bottom w:val="none" w:sz="0" w:space="0" w:color="auto"/>
            <w:right w:val="none" w:sz="0" w:space="0" w:color="auto"/>
          </w:divBdr>
        </w:div>
        <w:div w:id="2098594700">
          <w:marLeft w:val="0"/>
          <w:marRight w:val="0"/>
          <w:marTop w:val="0"/>
          <w:marBottom w:val="0"/>
          <w:divBdr>
            <w:top w:val="none" w:sz="0" w:space="0" w:color="auto"/>
            <w:left w:val="none" w:sz="0" w:space="0" w:color="auto"/>
            <w:bottom w:val="none" w:sz="0" w:space="0" w:color="auto"/>
            <w:right w:val="none" w:sz="0" w:space="0" w:color="auto"/>
          </w:divBdr>
        </w:div>
        <w:div w:id="468597506">
          <w:marLeft w:val="0"/>
          <w:marRight w:val="0"/>
          <w:marTop w:val="0"/>
          <w:marBottom w:val="0"/>
          <w:divBdr>
            <w:top w:val="none" w:sz="0" w:space="0" w:color="auto"/>
            <w:left w:val="none" w:sz="0" w:space="0" w:color="auto"/>
            <w:bottom w:val="none" w:sz="0" w:space="0" w:color="auto"/>
            <w:right w:val="none" w:sz="0" w:space="0" w:color="auto"/>
          </w:divBdr>
        </w:div>
        <w:div w:id="1315911431">
          <w:marLeft w:val="0"/>
          <w:marRight w:val="0"/>
          <w:marTop w:val="0"/>
          <w:marBottom w:val="0"/>
          <w:divBdr>
            <w:top w:val="none" w:sz="0" w:space="0" w:color="auto"/>
            <w:left w:val="none" w:sz="0" w:space="0" w:color="auto"/>
            <w:bottom w:val="none" w:sz="0" w:space="0" w:color="auto"/>
            <w:right w:val="none" w:sz="0" w:space="0" w:color="auto"/>
          </w:divBdr>
        </w:div>
        <w:div w:id="248854518">
          <w:marLeft w:val="0"/>
          <w:marRight w:val="0"/>
          <w:marTop w:val="0"/>
          <w:marBottom w:val="0"/>
          <w:divBdr>
            <w:top w:val="none" w:sz="0" w:space="0" w:color="auto"/>
            <w:left w:val="none" w:sz="0" w:space="0" w:color="auto"/>
            <w:bottom w:val="none" w:sz="0" w:space="0" w:color="auto"/>
            <w:right w:val="none" w:sz="0" w:space="0" w:color="auto"/>
          </w:divBdr>
        </w:div>
        <w:div w:id="1733311335">
          <w:marLeft w:val="0"/>
          <w:marRight w:val="0"/>
          <w:marTop w:val="0"/>
          <w:marBottom w:val="0"/>
          <w:divBdr>
            <w:top w:val="none" w:sz="0" w:space="0" w:color="auto"/>
            <w:left w:val="none" w:sz="0" w:space="0" w:color="auto"/>
            <w:bottom w:val="none" w:sz="0" w:space="0" w:color="auto"/>
            <w:right w:val="none" w:sz="0" w:space="0" w:color="auto"/>
          </w:divBdr>
        </w:div>
        <w:div w:id="12613268">
          <w:marLeft w:val="0"/>
          <w:marRight w:val="0"/>
          <w:marTop w:val="0"/>
          <w:marBottom w:val="0"/>
          <w:divBdr>
            <w:top w:val="none" w:sz="0" w:space="0" w:color="auto"/>
            <w:left w:val="none" w:sz="0" w:space="0" w:color="auto"/>
            <w:bottom w:val="none" w:sz="0" w:space="0" w:color="auto"/>
            <w:right w:val="none" w:sz="0" w:space="0" w:color="auto"/>
          </w:divBdr>
        </w:div>
      </w:divsChild>
    </w:div>
    <w:div w:id="1071080928">
      <w:bodyDiv w:val="1"/>
      <w:marLeft w:val="0"/>
      <w:marRight w:val="0"/>
      <w:marTop w:val="0"/>
      <w:marBottom w:val="0"/>
      <w:divBdr>
        <w:top w:val="none" w:sz="0" w:space="0" w:color="auto"/>
        <w:left w:val="none" w:sz="0" w:space="0" w:color="auto"/>
        <w:bottom w:val="none" w:sz="0" w:space="0" w:color="auto"/>
        <w:right w:val="none" w:sz="0" w:space="0" w:color="auto"/>
      </w:divBdr>
    </w:div>
    <w:div w:id="1135442568">
      <w:bodyDiv w:val="1"/>
      <w:marLeft w:val="0"/>
      <w:marRight w:val="0"/>
      <w:marTop w:val="0"/>
      <w:marBottom w:val="0"/>
      <w:divBdr>
        <w:top w:val="none" w:sz="0" w:space="0" w:color="auto"/>
        <w:left w:val="none" w:sz="0" w:space="0" w:color="auto"/>
        <w:bottom w:val="none" w:sz="0" w:space="0" w:color="auto"/>
        <w:right w:val="none" w:sz="0" w:space="0" w:color="auto"/>
      </w:divBdr>
    </w:div>
    <w:div w:id="149633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anerendell.co.uk/wp-content/uploads/2021/12/Log48_Rendell.pdf" TargetMode="External"/><Relationship Id="rId18" Type="http://schemas.openxmlformats.org/officeDocument/2006/relationships/hyperlink" Target="https://www.historicenvironment.scot/archives-and-research/publications/publication/?publicationId=79204155-9eb2-4d29-ab14-aff200ec280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historichouses.org/changing-times-valuing-history-historic-houses-for-the-21st-century/" TargetMode="External"/><Relationship Id="rId2" Type="http://schemas.openxmlformats.org/officeDocument/2006/relationships/numbering" Target="numbering.xml"/><Relationship Id="rId16" Type="http://schemas.openxmlformats.org/officeDocument/2006/relationships/hyperlink" Target="https://www.telegraph.co.uk/money/property/12th-century-castle-might-not-survive-labour-governm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rtandthecountryhouse.com/essays/essays-index/saving-country-houses-and-their-collections-in-the-twentieth-and-twenty-first-centuries" TargetMode="External"/><Relationship Id="rId10" Type="http://schemas.openxmlformats.org/officeDocument/2006/relationships/image" Target="media/image3.png"/><Relationship Id="rId19" Type="http://schemas.openxmlformats.org/officeDocument/2006/relationships/hyperlink" Target="https://scottishtourismalliance.co.uk/scotland-outlook-2030-over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al.nls.uk/histories-of-scottish-families/archive/95221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B0079-F6BB-48E9-8112-EC372425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Ian</dc:creator>
  <cp:keywords/>
  <dc:description/>
  <cp:lastModifiedBy>McCormack, Helen</cp:lastModifiedBy>
  <cp:revision>2</cp:revision>
  <dcterms:created xsi:type="dcterms:W3CDTF">2025-04-23T11:13:00Z</dcterms:created>
  <dcterms:modified xsi:type="dcterms:W3CDTF">2025-04-23T11:13:00Z</dcterms:modified>
</cp:coreProperties>
</file>